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4" w:rsidRPr="007D7708" w:rsidRDefault="00C35ED4" w:rsidP="00701A43">
      <w:pPr>
        <w:spacing w:after="0" w:line="20" w:lineRule="atLeast"/>
        <w:ind w:left="-1080"/>
        <w:rPr>
          <w:rFonts w:ascii="Arial Narrow" w:eastAsia="Times New Roman" w:hAnsi="Arial Narrow" w:cs="Arial"/>
          <w:i/>
          <w:sz w:val="20"/>
          <w:szCs w:val="20"/>
          <w:lang w:eastAsia="fr-FR"/>
        </w:rPr>
      </w:pPr>
    </w:p>
    <w:p w:rsidR="00C35ED4" w:rsidRPr="00C35ED4" w:rsidRDefault="00C35ED4" w:rsidP="00701A43">
      <w:pPr>
        <w:spacing w:after="0" w:line="20" w:lineRule="atLeast"/>
        <w:ind w:left="-1080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C35ED4" w:rsidRPr="00C35ED4" w:rsidRDefault="00510361" w:rsidP="00701A43">
      <w:pPr>
        <w:spacing w:after="0" w:line="20" w:lineRule="atLeast"/>
        <w:ind w:left="-1080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noProof/>
          <w:sz w:val="20"/>
          <w:szCs w:val="20"/>
          <w:lang w:eastAsia="fr-FR"/>
        </w:rPr>
        <w:drawing>
          <wp:inline distT="0" distB="0" distL="0" distR="0" wp14:anchorId="0A19F1FF" wp14:editId="20656DAC">
            <wp:extent cx="1742440" cy="551815"/>
            <wp:effectExtent l="0" t="0" r="0" b="635"/>
            <wp:docPr id="1" name="Image 1" descr="UPA_Logo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A_Logo_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14" w:rsidRDefault="00CE0D14" w:rsidP="00701A43">
      <w:pPr>
        <w:spacing w:after="0" w:line="20" w:lineRule="atLeast"/>
        <w:jc w:val="right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2374C2" w:rsidRDefault="002374C2" w:rsidP="00701A43">
      <w:pPr>
        <w:spacing w:after="0" w:line="20" w:lineRule="atLeast"/>
        <w:jc w:val="right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B15527" w:rsidRPr="00B15527" w:rsidRDefault="003775DC" w:rsidP="00C97247">
      <w:pPr>
        <w:spacing w:after="0" w:line="20" w:lineRule="atLeast"/>
        <w:ind w:right="-2"/>
        <w:jc w:val="right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sz w:val="20"/>
          <w:szCs w:val="20"/>
          <w:lang w:eastAsia="fr-FR"/>
        </w:rPr>
        <w:t>26 juillet</w:t>
      </w:r>
      <w:r w:rsidR="000A1D6B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2016</w:t>
      </w:r>
    </w:p>
    <w:p w:rsidR="00B15527" w:rsidRPr="00B15527" w:rsidRDefault="00073BF1" w:rsidP="00C97247">
      <w:pPr>
        <w:spacing w:after="0" w:line="20" w:lineRule="atLeast"/>
        <w:ind w:right="-2"/>
        <w:jc w:val="right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sz w:val="20"/>
          <w:szCs w:val="20"/>
          <w:lang w:eastAsia="fr-FR"/>
        </w:rPr>
        <w:t xml:space="preserve">Communiqué de presse </w:t>
      </w:r>
      <w:r w:rsidR="003775DC">
        <w:rPr>
          <w:rFonts w:ascii="Arial Narrow" w:eastAsia="Times New Roman" w:hAnsi="Arial Narrow" w:cs="Arial"/>
          <w:sz w:val="20"/>
          <w:szCs w:val="20"/>
          <w:lang w:eastAsia="fr-FR"/>
        </w:rPr>
        <w:t>16/07/</w:t>
      </w:r>
      <w:r w:rsidR="00171A67">
        <w:rPr>
          <w:rFonts w:ascii="Arial Narrow" w:eastAsia="Times New Roman" w:hAnsi="Arial Narrow" w:cs="Arial"/>
          <w:sz w:val="20"/>
          <w:szCs w:val="20"/>
          <w:lang w:eastAsia="fr-FR"/>
        </w:rPr>
        <w:t>37</w:t>
      </w:r>
    </w:p>
    <w:p w:rsidR="00B15527" w:rsidRPr="00B15527" w:rsidRDefault="00B15527" w:rsidP="00701A43">
      <w:pPr>
        <w:spacing w:after="0" w:line="20" w:lineRule="atLeast"/>
        <w:ind w:right="282"/>
        <w:jc w:val="right"/>
        <w:rPr>
          <w:rFonts w:ascii="Gill Sans MT" w:eastAsia="Times New Roman" w:hAnsi="Gill Sans MT" w:cs="Arial"/>
          <w:sz w:val="8"/>
          <w:szCs w:val="28"/>
          <w:lang w:eastAsia="fr-FR"/>
        </w:rPr>
      </w:pPr>
    </w:p>
    <w:p w:rsidR="004F2A98" w:rsidRDefault="004F2A98" w:rsidP="004F2A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sz w:val="8"/>
          <w:szCs w:val="8"/>
          <w:lang w:eastAsia="fr-FR"/>
        </w:rPr>
      </w:pPr>
    </w:p>
    <w:p w:rsidR="004F2A98" w:rsidRPr="00256A84" w:rsidRDefault="004F2A98" w:rsidP="004F2A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bCs/>
          <w:sz w:val="12"/>
          <w:szCs w:val="12"/>
          <w:lang w:eastAsia="fr-FR"/>
        </w:rPr>
      </w:pPr>
    </w:p>
    <w:p w:rsidR="00F318D2" w:rsidRPr="00F318D2" w:rsidRDefault="0033039E" w:rsidP="004F2A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BAROMETRE EMPLOI ET CONJONCTURE</w:t>
      </w:r>
    </w:p>
    <w:p w:rsidR="00FE358B" w:rsidRPr="00FE358B" w:rsidRDefault="00FE358B" w:rsidP="004F2A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6"/>
          <w:szCs w:val="6"/>
          <w:lang w:eastAsia="fr-FR"/>
        </w:rPr>
      </w:pPr>
    </w:p>
    <w:p w:rsidR="0033039E" w:rsidRPr="00171A67" w:rsidRDefault="00FE358B" w:rsidP="004F2A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fr-FR"/>
        </w:rPr>
      </w:pPr>
      <w:r w:rsidRPr="00171A67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La confiance n’est pas encore au rendez-vous</w:t>
      </w:r>
    </w:p>
    <w:p w:rsidR="004F2A98" w:rsidRDefault="004F2A98" w:rsidP="004F2A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bCs/>
          <w:sz w:val="8"/>
          <w:szCs w:val="8"/>
          <w:lang w:eastAsia="fr-FR"/>
        </w:rPr>
      </w:pPr>
    </w:p>
    <w:p w:rsidR="004F2A98" w:rsidRDefault="004F2A98" w:rsidP="004F2A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8"/>
          <w:szCs w:val="8"/>
          <w:lang w:eastAsia="fr-FR"/>
        </w:rPr>
      </w:pPr>
    </w:p>
    <w:p w:rsidR="004F2A98" w:rsidRDefault="004F2A98" w:rsidP="004F2A9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6"/>
          <w:szCs w:val="16"/>
          <w:lang w:eastAsia="fr-FR"/>
        </w:rPr>
      </w:pPr>
    </w:p>
    <w:p w:rsidR="00BF5096" w:rsidRPr="001752D6" w:rsidRDefault="00BF5096" w:rsidP="004F2A9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16"/>
          <w:szCs w:val="16"/>
          <w:lang w:eastAsia="fr-FR"/>
        </w:rPr>
      </w:pPr>
    </w:p>
    <w:p w:rsidR="004F1694" w:rsidRPr="00171A67" w:rsidRDefault="00DA01BD" w:rsidP="004F1694">
      <w:pPr>
        <w:jc w:val="both"/>
        <w:rPr>
          <w:rFonts w:ascii="Arial Narrow" w:hAnsi="Arial Narrow"/>
        </w:rPr>
      </w:pPr>
      <w:r w:rsidRPr="00171A67">
        <w:rPr>
          <w:rFonts w:ascii="Arial Narrow" w:hAnsi="Arial Narrow"/>
        </w:rPr>
        <w:t xml:space="preserve">On ne peut encore parler d’une reprise. </w:t>
      </w:r>
      <w:r w:rsidR="008169FA">
        <w:rPr>
          <w:rFonts w:ascii="Arial Narrow" w:hAnsi="Arial Narrow"/>
        </w:rPr>
        <w:t>Pourtant</w:t>
      </w:r>
      <w:r w:rsidRPr="00171A67">
        <w:rPr>
          <w:rFonts w:ascii="Arial Narrow" w:hAnsi="Arial Narrow"/>
        </w:rPr>
        <w:t>, pour le troisième trimestre consécutif, l’artisanat et le commerce de proximité ont connu une moindre baisse</w:t>
      </w:r>
      <w:r w:rsidR="004F1694" w:rsidRPr="00171A67">
        <w:rPr>
          <w:rFonts w:ascii="Arial Narrow" w:hAnsi="Arial Narrow"/>
        </w:rPr>
        <w:t xml:space="preserve"> d’activité</w:t>
      </w:r>
      <w:r w:rsidRPr="00171A67">
        <w:rPr>
          <w:rFonts w:ascii="Arial Narrow" w:hAnsi="Arial Narrow"/>
        </w:rPr>
        <w:t xml:space="preserve">. </w:t>
      </w:r>
      <w:r w:rsidR="004F1694" w:rsidRPr="00171A67">
        <w:rPr>
          <w:rFonts w:ascii="Arial Narrow" w:hAnsi="Arial Narrow"/>
          <w:b/>
          <w:bCs/>
        </w:rPr>
        <w:t>Le chiffre d’af</w:t>
      </w:r>
      <w:r w:rsidR="008169FA">
        <w:rPr>
          <w:rFonts w:ascii="Arial Narrow" w:hAnsi="Arial Narrow"/>
          <w:b/>
          <w:bCs/>
        </w:rPr>
        <w:t>faires a ainsi reculé de 1% au 2</w:t>
      </w:r>
      <w:r w:rsidR="008169FA" w:rsidRPr="008169FA">
        <w:rPr>
          <w:rFonts w:ascii="Arial Narrow" w:hAnsi="Arial Narrow"/>
          <w:b/>
          <w:bCs/>
          <w:vertAlign w:val="superscript"/>
        </w:rPr>
        <w:t>ème</w:t>
      </w:r>
      <w:r w:rsidR="008169FA">
        <w:rPr>
          <w:rFonts w:ascii="Arial Narrow" w:hAnsi="Arial Narrow"/>
          <w:b/>
          <w:bCs/>
        </w:rPr>
        <w:t xml:space="preserve"> </w:t>
      </w:r>
      <w:r w:rsidR="004F1694" w:rsidRPr="00171A67">
        <w:rPr>
          <w:rFonts w:ascii="Arial Narrow" w:hAnsi="Arial Narrow"/>
          <w:b/>
          <w:bCs/>
        </w:rPr>
        <w:t xml:space="preserve">trimestre 2016, </w:t>
      </w:r>
      <w:r w:rsidRPr="00171A67">
        <w:rPr>
          <w:rFonts w:ascii="Arial Narrow" w:hAnsi="Arial Narrow"/>
          <w:b/>
          <w:bCs/>
        </w:rPr>
        <w:t>contre</w:t>
      </w:r>
      <w:r w:rsidR="004F1694" w:rsidRPr="00171A67">
        <w:rPr>
          <w:rFonts w:ascii="Arial Narrow" w:hAnsi="Arial Narrow"/>
          <w:b/>
          <w:bCs/>
        </w:rPr>
        <w:t xml:space="preserve"> </w:t>
      </w:r>
      <w:r w:rsidR="00C81968" w:rsidRPr="00171A67">
        <w:rPr>
          <w:rFonts w:ascii="Arial Narrow" w:hAnsi="Arial Narrow"/>
          <w:b/>
          <w:bCs/>
        </w:rPr>
        <w:t>1,5% au 1</w:t>
      </w:r>
      <w:r w:rsidR="00C81968" w:rsidRPr="00171A67">
        <w:rPr>
          <w:rFonts w:ascii="Arial Narrow" w:hAnsi="Arial Narrow"/>
          <w:b/>
          <w:bCs/>
          <w:vertAlign w:val="superscript"/>
        </w:rPr>
        <w:t>er</w:t>
      </w:r>
      <w:r w:rsidRPr="00171A67">
        <w:rPr>
          <w:rFonts w:ascii="Arial Narrow" w:hAnsi="Arial Narrow"/>
          <w:b/>
          <w:bCs/>
        </w:rPr>
        <w:t xml:space="preserve"> trimestre  et </w:t>
      </w:r>
      <w:r w:rsidR="00C81968" w:rsidRPr="00171A67">
        <w:rPr>
          <w:rFonts w:ascii="Arial Narrow" w:hAnsi="Arial Narrow"/>
          <w:b/>
          <w:bCs/>
        </w:rPr>
        <w:t xml:space="preserve"> </w:t>
      </w:r>
      <w:r w:rsidR="004F1694" w:rsidRPr="00171A67">
        <w:rPr>
          <w:rFonts w:ascii="Arial Narrow" w:hAnsi="Arial Narrow"/>
          <w:b/>
          <w:bCs/>
        </w:rPr>
        <w:t xml:space="preserve">2% au </w:t>
      </w:r>
      <w:bookmarkStart w:id="0" w:name="_GoBack"/>
      <w:bookmarkEnd w:id="0"/>
      <w:r w:rsidR="004F1694" w:rsidRPr="00171A67">
        <w:rPr>
          <w:rFonts w:ascii="Arial Narrow" w:hAnsi="Arial Narrow"/>
          <w:b/>
          <w:bCs/>
        </w:rPr>
        <w:t>4</w:t>
      </w:r>
      <w:r w:rsidR="004F1694" w:rsidRPr="00171A67">
        <w:rPr>
          <w:rFonts w:ascii="Arial Narrow" w:hAnsi="Arial Narrow"/>
          <w:b/>
          <w:bCs/>
          <w:vertAlign w:val="superscript"/>
        </w:rPr>
        <w:t>ème</w:t>
      </w:r>
      <w:r w:rsidR="004F1694" w:rsidRPr="00171A67">
        <w:rPr>
          <w:rFonts w:ascii="Arial Narrow" w:hAnsi="Arial Narrow"/>
          <w:b/>
          <w:bCs/>
        </w:rPr>
        <w:t xml:space="preserve"> trimestre 2015.</w:t>
      </w:r>
    </w:p>
    <w:p w:rsidR="004F1694" w:rsidRPr="00171A67" w:rsidRDefault="00FB4D5F" w:rsidP="004F1694">
      <w:pPr>
        <w:jc w:val="both"/>
        <w:rPr>
          <w:rFonts w:ascii="Arial Narrow" w:hAnsi="Arial Narrow"/>
        </w:rPr>
      </w:pPr>
      <w:r w:rsidRPr="00171A67">
        <w:rPr>
          <w:rFonts w:ascii="Arial Narrow" w:hAnsi="Arial Narrow"/>
        </w:rPr>
        <w:t>L</w:t>
      </w:r>
      <w:r w:rsidR="004F1694" w:rsidRPr="00171A67">
        <w:rPr>
          <w:rFonts w:ascii="Arial Narrow" w:hAnsi="Arial Narrow"/>
        </w:rPr>
        <w:t>e secteur bénéficie</w:t>
      </w:r>
      <w:r w:rsidRPr="00171A67">
        <w:rPr>
          <w:rFonts w:ascii="Arial Narrow" w:hAnsi="Arial Narrow"/>
        </w:rPr>
        <w:t xml:space="preserve"> en réalité </w:t>
      </w:r>
      <w:r w:rsidR="004F1694" w:rsidRPr="00171A67">
        <w:rPr>
          <w:rFonts w:ascii="Arial Narrow" w:hAnsi="Arial Narrow"/>
        </w:rPr>
        <w:t xml:space="preserve">d’une nouvelle progression du chiffre d’affaires des artisans du bâtiment (+0,5%), rejoints désormais par ceux des travaux publics (+1%). Parallèlement, </w:t>
      </w:r>
      <w:r w:rsidR="0033039E" w:rsidRPr="00171A67">
        <w:rPr>
          <w:rFonts w:ascii="Arial Narrow" w:hAnsi="Arial Narrow"/>
        </w:rPr>
        <w:t>les</w:t>
      </w:r>
      <w:r w:rsidR="004F1694" w:rsidRPr="00171A67">
        <w:rPr>
          <w:rFonts w:ascii="Arial Narrow" w:hAnsi="Arial Narrow"/>
        </w:rPr>
        <w:t xml:space="preserve"> artisans des services et de la fabrication </w:t>
      </w:r>
      <w:r w:rsidR="0033039E" w:rsidRPr="00171A67">
        <w:rPr>
          <w:rFonts w:ascii="Arial Narrow" w:hAnsi="Arial Narrow"/>
        </w:rPr>
        <w:t>enregistrent des résultats faiblement négatifs</w:t>
      </w:r>
      <w:r w:rsidR="00FE358B" w:rsidRPr="00171A67">
        <w:rPr>
          <w:rFonts w:ascii="Arial Narrow" w:hAnsi="Arial Narrow"/>
        </w:rPr>
        <w:t xml:space="preserve">, tandis que </w:t>
      </w:r>
      <w:r w:rsidR="004F1694" w:rsidRPr="00171A67">
        <w:rPr>
          <w:rFonts w:ascii="Arial Narrow" w:hAnsi="Arial Narrow"/>
        </w:rPr>
        <w:t>les ventes de l’a</w:t>
      </w:r>
      <w:r w:rsidR="0033039E" w:rsidRPr="00171A67">
        <w:rPr>
          <w:rFonts w:ascii="Arial Narrow" w:hAnsi="Arial Narrow"/>
        </w:rPr>
        <w:t>rtisanat</w:t>
      </w:r>
      <w:r w:rsidR="004F1694" w:rsidRPr="00171A67">
        <w:rPr>
          <w:rFonts w:ascii="Arial Narrow" w:hAnsi="Arial Narrow"/>
        </w:rPr>
        <w:t xml:space="preserve"> et du commerce alimentaire </w:t>
      </w:r>
      <w:r w:rsidR="0033039E" w:rsidRPr="00171A67">
        <w:rPr>
          <w:rFonts w:ascii="Arial Narrow" w:hAnsi="Arial Narrow"/>
        </w:rPr>
        <w:t>repartent à la baisse</w:t>
      </w:r>
      <w:r w:rsidR="004F1694" w:rsidRPr="00171A67">
        <w:rPr>
          <w:rFonts w:ascii="Arial Narrow" w:hAnsi="Arial Narrow"/>
        </w:rPr>
        <w:t xml:space="preserve">, </w:t>
      </w:r>
      <w:r w:rsidR="00FE358B" w:rsidRPr="00171A67">
        <w:rPr>
          <w:rFonts w:ascii="Arial Narrow" w:hAnsi="Arial Narrow"/>
        </w:rPr>
        <w:t>et</w:t>
      </w:r>
      <w:r w:rsidR="004F1694" w:rsidRPr="00171A67">
        <w:rPr>
          <w:rFonts w:ascii="Arial Narrow" w:hAnsi="Arial Narrow"/>
        </w:rPr>
        <w:t xml:space="preserve"> que </w:t>
      </w:r>
      <w:r w:rsidRPr="00171A67">
        <w:rPr>
          <w:rFonts w:ascii="Arial Narrow" w:hAnsi="Arial Narrow"/>
        </w:rPr>
        <w:t xml:space="preserve">le secteur de l’hôtellerie-restauration </w:t>
      </w:r>
      <w:r w:rsidR="00FE358B" w:rsidRPr="00171A67">
        <w:rPr>
          <w:rFonts w:ascii="Arial Narrow" w:hAnsi="Arial Narrow"/>
        </w:rPr>
        <w:t>fait</w:t>
      </w:r>
      <w:r w:rsidR="0033039E" w:rsidRPr="00171A67">
        <w:rPr>
          <w:rFonts w:ascii="Arial Narrow" w:hAnsi="Arial Narrow"/>
        </w:rPr>
        <w:t xml:space="preserve"> face à une conjoncture très détériorée (-5%).</w:t>
      </w:r>
    </w:p>
    <w:p w:rsidR="002D6A85" w:rsidRPr="00171A67" w:rsidRDefault="00BB1578" w:rsidP="00BB1578">
      <w:pPr>
        <w:jc w:val="both"/>
        <w:rPr>
          <w:rFonts w:ascii="Arial Narrow" w:hAnsi="Arial Narrow"/>
          <w:bCs/>
        </w:rPr>
      </w:pPr>
      <w:r w:rsidRPr="00171A67">
        <w:rPr>
          <w:rFonts w:ascii="Arial Narrow" w:hAnsi="Arial Narrow"/>
          <w:bCs/>
        </w:rPr>
        <w:t xml:space="preserve">Bien que la croissance ne soit toujours pas au rendez-vous,  les entreprises de l’artisanat et du commerce de proximité </w:t>
      </w:r>
      <w:r w:rsidR="002D6A85" w:rsidRPr="00171A67">
        <w:rPr>
          <w:rFonts w:ascii="Arial Narrow" w:hAnsi="Arial Narrow"/>
          <w:bCs/>
        </w:rPr>
        <w:t xml:space="preserve">se remettent à </w:t>
      </w:r>
      <w:r w:rsidRPr="00171A67">
        <w:rPr>
          <w:rFonts w:ascii="Arial Narrow" w:hAnsi="Arial Narrow"/>
          <w:bCs/>
        </w:rPr>
        <w:t xml:space="preserve">embaucher. Ainsi, </w:t>
      </w:r>
      <w:r w:rsidRPr="00171A67">
        <w:rPr>
          <w:rFonts w:ascii="Arial Narrow" w:hAnsi="Arial Narrow"/>
          <w:b/>
          <w:bCs/>
        </w:rPr>
        <w:t>19% des entreprises ont augmenté leurs effectifs au cours du 1</w:t>
      </w:r>
      <w:r w:rsidRPr="00171A67">
        <w:rPr>
          <w:rFonts w:ascii="Arial Narrow" w:hAnsi="Arial Narrow"/>
          <w:b/>
          <w:bCs/>
          <w:vertAlign w:val="superscript"/>
        </w:rPr>
        <w:t>er</w:t>
      </w:r>
      <w:r w:rsidRPr="00171A67">
        <w:rPr>
          <w:rFonts w:ascii="Arial Narrow" w:hAnsi="Arial Narrow"/>
          <w:b/>
          <w:bCs/>
        </w:rPr>
        <w:t xml:space="preserve"> semestre 2016, contre 17% en 2015</w:t>
      </w:r>
      <w:r w:rsidRPr="00171A67">
        <w:rPr>
          <w:rFonts w:ascii="Arial Narrow" w:hAnsi="Arial Narrow"/>
          <w:bCs/>
        </w:rPr>
        <w:t>.</w:t>
      </w:r>
      <w:r w:rsidRPr="00171A67">
        <w:rPr>
          <w:rFonts w:ascii="Arial Narrow" w:hAnsi="Arial Narrow"/>
          <w:b/>
          <w:bCs/>
        </w:rPr>
        <w:t xml:space="preserve"> </w:t>
      </w:r>
      <w:r w:rsidRPr="00171A67">
        <w:rPr>
          <w:rFonts w:ascii="Arial Narrow" w:hAnsi="Arial Narrow"/>
          <w:bCs/>
        </w:rPr>
        <w:t>Ce résultat démontre une fois de plus l’important gisement d’emploi</w:t>
      </w:r>
      <w:r w:rsidR="002D6A85" w:rsidRPr="00171A67">
        <w:rPr>
          <w:rFonts w:ascii="Arial Narrow" w:hAnsi="Arial Narrow"/>
          <w:bCs/>
        </w:rPr>
        <w:t>s</w:t>
      </w:r>
      <w:r w:rsidRPr="00171A67">
        <w:rPr>
          <w:rFonts w:ascii="Arial Narrow" w:hAnsi="Arial Narrow"/>
          <w:bCs/>
        </w:rPr>
        <w:t xml:space="preserve"> que constituent les TPE-PME dans ce pays. </w:t>
      </w:r>
    </w:p>
    <w:p w:rsidR="002D6A85" w:rsidRPr="00171A67" w:rsidRDefault="002D6A85" w:rsidP="00BB1578">
      <w:pPr>
        <w:jc w:val="both"/>
        <w:rPr>
          <w:rFonts w:ascii="Arial Narrow" w:hAnsi="Arial Narrow"/>
          <w:bCs/>
        </w:rPr>
      </w:pPr>
      <w:r w:rsidRPr="00171A67">
        <w:rPr>
          <w:rFonts w:ascii="Arial Narrow" w:hAnsi="Arial Narrow"/>
          <w:bCs/>
        </w:rPr>
        <w:t xml:space="preserve">Les faibles </w:t>
      </w:r>
      <w:r w:rsidR="00BB1578" w:rsidRPr="00171A67">
        <w:rPr>
          <w:rFonts w:ascii="Arial Narrow" w:hAnsi="Arial Narrow"/>
          <w:bCs/>
        </w:rPr>
        <w:t>prévisions d’embauches pour le second semestre</w:t>
      </w:r>
      <w:r w:rsidR="00AB0CA6" w:rsidRPr="00171A67">
        <w:rPr>
          <w:rFonts w:ascii="Arial Narrow" w:hAnsi="Arial Narrow"/>
          <w:bCs/>
        </w:rPr>
        <w:t xml:space="preserve"> </w:t>
      </w:r>
      <w:r w:rsidRPr="00171A67">
        <w:rPr>
          <w:rFonts w:ascii="Arial Narrow" w:hAnsi="Arial Narrow"/>
          <w:bCs/>
        </w:rPr>
        <w:t>témoignent en revanche d’un manque de confiance des chefs d’entreprise. Ils</w:t>
      </w:r>
      <w:r w:rsidR="00AB0CA6" w:rsidRPr="00171A67">
        <w:rPr>
          <w:rFonts w:ascii="Arial Narrow" w:hAnsi="Arial Narrow"/>
          <w:bCs/>
        </w:rPr>
        <w:t xml:space="preserve"> expliquent leur réticence à recruter </w:t>
      </w:r>
      <w:r w:rsidR="00FE358B" w:rsidRPr="00171A67">
        <w:rPr>
          <w:rFonts w:ascii="Arial Narrow" w:hAnsi="Arial Narrow"/>
          <w:bCs/>
        </w:rPr>
        <w:t xml:space="preserve">d’abord </w:t>
      </w:r>
      <w:r w:rsidR="00AB0CA6" w:rsidRPr="00171A67">
        <w:rPr>
          <w:rFonts w:ascii="Arial Narrow" w:hAnsi="Arial Narrow"/>
          <w:bCs/>
        </w:rPr>
        <w:t xml:space="preserve">par une stagnation de l’activité (56%). </w:t>
      </w:r>
    </w:p>
    <w:p w:rsidR="002D6A85" w:rsidRPr="00171A67" w:rsidRDefault="00F318D2" w:rsidP="00BB1578">
      <w:pPr>
        <w:jc w:val="both"/>
        <w:rPr>
          <w:rFonts w:ascii="Arial Narrow" w:hAnsi="Arial Narrow"/>
          <w:bCs/>
        </w:rPr>
      </w:pPr>
      <w:r w:rsidRPr="00171A67">
        <w:rPr>
          <w:rFonts w:ascii="Arial Narrow" w:hAnsi="Arial Narrow"/>
          <w:b/>
          <w:bCs/>
        </w:rPr>
        <w:t>Près de 60% des salariés recrutés au premier semestre 2016 l’ont été en CDD</w:t>
      </w:r>
      <w:r w:rsidRPr="00171A67">
        <w:rPr>
          <w:rFonts w:ascii="Arial Narrow" w:hAnsi="Arial Narrow"/>
          <w:bCs/>
        </w:rPr>
        <w:t>, un chiffre en augmentation depuis quelques ann</w:t>
      </w:r>
      <w:r w:rsidR="002D6A85" w:rsidRPr="00171A67">
        <w:rPr>
          <w:rFonts w:ascii="Arial Narrow" w:hAnsi="Arial Narrow"/>
          <w:bCs/>
        </w:rPr>
        <w:t>ées</w:t>
      </w:r>
      <w:r w:rsidR="00FE358B" w:rsidRPr="00171A67">
        <w:rPr>
          <w:rFonts w:ascii="Arial Narrow" w:hAnsi="Arial Narrow"/>
          <w:bCs/>
        </w:rPr>
        <w:t xml:space="preserve">. </w:t>
      </w:r>
      <w:r w:rsidRPr="00171A67">
        <w:rPr>
          <w:rFonts w:ascii="Arial Narrow" w:hAnsi="Arial Narrow"/>
          <w:bCs/>
        </w:rPr>
        <w:t>Les chefs d’entreprise</w:t>
      </w:r>
      <w:r w:rsidR="00FE358B" w:rsidRPr="00171A67">
        <w:rPr>
          <w:rFonts w:ascii="Arial Narrow" w:hAnsi="Arial Narrow"/>
          <w:bCs/>
        </w:rPr>
        <w:t>,</w:t>
      </w:r>
      <w:r w:rsidRPr="00171A67">
        <w:rPr>
          <w:rFonts w:ascii="Arial Narrow" w:hAnsi="Arial Narrow"/>
          <w:bCs/>
        </w:rPr>
        <w:t xml:space="preserve"> manquant de confiance en l’avenir</w:t>
      </w:r>
      <w:r w:rsidR="00FE358B" w:rsidRPr="00171A67">
        <w:rPr>
          <w:rFonts w:ascii="Arial Narrow" w:hAnsi="Arial Narrow"/>
          <w:bCs/>
        </w:rPr>
        <w:t>,</w:t>
      </w:r>
      <w:r w:rsidRPr="00171A67">
        <w:rPr>
          <w:rFonts w:ascii="Arial Narrow" w:hAnsi="Arial Narrow"/>
          <w:bCs/>
        </w:rPr>
        <w:t xml:space="preserve"> privilégient les </w:t>
      </w:r>
      <w:r w:rsidR="00BF5096" w:rsidRPr="00171A67">
        <w:rPr>
          <w:rFonts w:ascii="Arial Narrow" w:hAnsi="Arial Narrow"/>
          <w:bCs/>
        </w:rPr>
        <w:t>contrats courts</w:t>
      </w:r>
      <w:r w:rsidRPr="00171A67">
        <w:rPr>
          <w:rFonts w:ascii="Arial Narrow" w:hAnsi="Arial Narrow"/>
          <w:bCs/>
        </w:rPr>
        <w:t xml:space="preserve">. </w:t>
      </w:r>
      <w:r w:rsidR="00DE7693" w:rsidRPr="00171A67">
        <w:rPr>
          <w:rFonts w:ascii="Arial Narrow" w:hAnsi="Arial Narrow"/>
          <w:bCs/>
        </w:rPr>
        <w:t>Dans ce contexte, la possibilité donnée aux TPE de recourir à un licenciement économique à la suite d’un trimestre de baisse de chiffre d’affaires, conformément à la demande de l’UPA</w:t>
      </w:r>
      <w:r w:rsidR="00FE358B" w:rsidRPr="00171A67">
        <w:rPr>
          <w:rFonts w:ascii="Arial Narrow" w:hAnsi="Arial Narrow"/>
          <w:bCs/>
        </w:rPr>
        <w:t xml:space="preserve"> dans le cadre de la loi Travail</w:t>
      </w:r>
      <w:r w:rsidR="00DE7693" w:rsidRPr="00171A67">
        <w:rPr>
          <w:rFonts w:ascii="Arial Narrow" w:hAnsi="Arial Narrow"/>
          <w:bCs/>
        </w:rPr>
        <w:t xml:space="preserve">, devrait </w:t>
      </w:r>
      <w:r w:rsidR="00FE358B" w:rsidRPr="00171A67">
        <w:rPr>
          <w:rFonts w:ascii="Arial Narrow" w:hAnsi="Arial Narrow"/>
          <w:bCs/>
        </w:rPr>
        <w:t xml:space="preserve">lever un frein à l’embauche et </w:t>
      </w:r>
      <w:r w:rsidR="00DE7693" w:rsidRPr="00171A67">
        <w:rPr>
          <w:rFonts w:ascii="Arial Narrow" w:hAnsi="Arial Narrow"/>
          <w:bCs/>
        </w:rPr>
        <w:t xml:space="preserve">encourager à </w:t>
      </w:r>
      <w:r w:rsidR="00FE358B" w:rsidRPr="00171A67">
        <w:rPr>
          <w:rFonts w:ascii="Arial Narrow" w:hAnsi="Arial Narrow"/>
          <w:bCs/>
        </w:rPr>
        <w:t>recourir davantage au</w:t>
      </w:r>
      <w:r w:rsidR="00DE7693" w:rsidRPr="00171A67">
        <w:rPr>
          <w:rFonts w:ascii="Arial Narrow" w:hAnsi="Arial Narrow"/>
          <w:bCs/>
        </w:rPr>
        <w:t xml:space="preserve"> CDI</w:t>
      </w:r>
      <w:r w:rsidR="00FE358B" w:rsidRPr="00171A67">
        <w:rPr>
          <w:rFonts w:ascii="Arial Narrow" w:hAnsi="Arial Narrow"/>
          <w:bCs/>
        </w:rPr>
        <w:t xml:space="preserve"> qu’aux contrats courts</w:t>
      </w:r>
      <w:r w:rsidR="00DE7693" w:rsidRPr="00171A67">
        <w:rPr>
          <w:rFonts w:ascii="Arial Narrow" w:hAnsi="Arial Narrow"/>
          <w:bCs/>
        </w:rPr>
        <w:t>.</w:t>
      </w:r>
    </w:p>
    <w:p w:rsidR="00BF5096" w:rsidRPr="00171A67" w:rsidRDefault="00F318D2" w:rsidP="00BB1578">
      <w:pPr>
        <w:jc w:val="both"/>
        <w:rPr>
          <w:rFonts w:ascii="Arial Narrow" w:hAnsi="Arial Narrow"/>
          <w:bCs/>
        </w:rPr>
      </w:pPr>
      <w:r w:rsidRPr="00171A67">
        <w:rPr>
          <w:rFonts w:ascii="Arial Narrow" w:hAnsi="Arial Narrow"/>
          <w:bCs/>
        </w:rPr>
        <w:t xml:space="preserve">Autre </w:t>
      </w:r>
      <w:r w:rsidR="00BF5096" w:rsidRPr="00171A67">
        <w:rPr>
          <w:rFonts w:ascii="Arial Narrow" w:hAnsi="Arial Narrow"/>
          <w:bCs/>
        </w:rPr>
        <w:t>enseignement</w:t>
      </w:r>
      <w:r w:rsidRPr="00171A67">
        <w:rPr>
          <w:rFonts w:ascii="Arial Narrow" w:hAnsi="Arial Narrow"/>
          <w:bCs/>
        </w:rPr>
        <w:t xml:space="preserve">, </w:t>
      </w:r>
      <w:r w:rsidR="00BF5096" w:rsidRPr="00171A67">
        <w:rPr>
          <w:rFonts w:ascii="Arial Narrow" w:hAnsi="Arial Narrow"/>
          <w:b/>
          <w:bCs/>
        </w:rPr>
        <w:t>p</w:t>
      </w:r>
      <w:r w:rsidR="00AB0CA6" w:rsidRPr="00171A67">
        <w:rPr>
          <w:rFonts w:ascii="Arial Narrow" w:hAnsi="Arial Narrow"/>
          <w:b/>
          <w:bCs/>
        </w:rPr>
        <w:t>lus d’u</w:t>
      </w:r>
      <w:r w:rsidR="00BB1578" w:rsidRPr="00171A67">
        <w:rPr>
          <w:rFonts w:ascii="Arial Narrow" w:hAnsi="Arial Narrow"/>
          <w:b/>
          <w:bCs/>
        </w:rPr>
        <w:t xml:space="preserve">n quart </w:t>
      </w:r>
      <w:r w:rsidR="00AB0CA6" w:rsidRPr="00171A67">
        <w:rPr>
          <w:rFonts w:ascii="Arial Narrow" w:hAnsi="Arial Narrow"/>
          <w:b/>
          <w:bCs/>
        </w:rPr>
        <w:t>(26%)</w:t>
      </w:r>
      <w:r w:rsidR="00BF5096" w:rsidRPr="00171A67">
        <w:rPr>
          <w:rFonts w:ascii="Arial Narrow" w:hAnsi="Arial Narrow"/>
          <w:b/>
          <w:bCs/>
        </w:rPr>
        <w:t xml:space="preserve"> </w:t>
      </w:r>
      <w:r w:rsidR="00BB1578" w:rsidRPr="00171A67">
        <w:rPr>
          <w:rFonts w:ascii="Arial Narrow" w:hAnsi="Arial Narrow"/>
          <w:b/>
          <w:bCs/>
        </w:rPr>
        <w:t>des entreprises rencontrent des difficultés de recrutement</w:t>
      </w:r>
      <w:r w:rsidR="00BB1578" w:rsidRPr="00171A67">
        <w:rPr>
          <w:rFonts w:ascii="Arial Narrow" w:hAnsi="Arial Narrow"/>
          <w:bCs/>
        </w:rPr>
        <w:t xml:space="preserve">. </w:t>
      </w:r>
      <w:r w:rsidR="00FE358B" w:rsidRPr="00171A67">
        <w:rPr>
          <w:rFonts w:ascii="Arial Narrow" w:hAnsi="Arial Narrow"/>
          <w:bCs/>
        </w:rPr>
        <w:t>L</w:t>
      </w:r>
      <w:r w:rsidR="00BB1578" w:rsidRPr="00171A67">
        <w:rPr>
          <w:rFonts w:ascii="Arial Narrow" w:hAnsi="Arial Narrow"/>
          <w:bCs/>
        </w:rPr>
        <w:t>e manque de qualification des candidats</w:t>
      </w:r>
      <w:r w:rsidR="00BF5096" w:rsidRPr="00171A67">
        <w:rPr>
          <w:rFonts w:ascii="Arial Narrow" w:hAnsi="Arial Narrow"/>
          <w:bCs/>
        </w:rPr>
        <w:t xml:space="preserve"> reste le principal problème rencontré par les entreprises dans</w:t>
      </w:r>
      <w:r w:rsidR="00BB1578" w:rsidRPr="00171A67">
        <w:rPr>
          <w:rFonts w:ascii="Arial Narrow" w:hAnsi="Arial Narrow"/>
          <w:bCs/>
        </w:rPr>
        <w:t xml:space="preserve"> leur impossibilité d’embaucher. </w:t>
      </w:r>
      <w:r w:rsidR="00DE7693" w:rsidRPr="00171A67">
        <w:rPr>
          <w:rFonts w:ascii="Arial Narrow" w:hAnsi="Arial Narrow"/>
          <w:b/>
          <w:bCs/>
        </w:rPr>
        <w:t>C’est la</w:t>
      </w:r>
      <w:r w:rsidR="00BF5096" w:rsidRPr="00171A67">
        <w:rPr>
          <w:rFonts w:ascii="Arial Narrow" w:hAnsi="Arial Narrow"/>
          <w:b/>
          <w:bCs/>
        </w:rPr>
        <w:t xml:space="preserve"> démonstration de l’absurdité </w:t>
      </w:r>
      <w:r w:rsidR="00DE7693" w:rsidRPr="00171A67">
        <w:rPr>
          <w:rFonts w:ascii="Arial Narrow" w:hAnsi="Arial Narrow"/>
          <w:b/>
          <w:bCs/>
        </w:rPr>
        <w:t xml:space="preserve">des dispositions initiales </w:t>
      </w:r>
      <w:r w:rsidR="00BF5096" w:rsidRPr="00171A67">
        <w:rPr>
          <w:rFonts w:ascii="Arial Narrow" w:hAnsi="Arial Narrow"/>
          <w:b/>
          <w:bCs/>
        </w:rPr>
        <w:t xml:space="preserve">du projet </w:t>
      </w:r>
      <w:r w:rsidR="00DE7693" w:rsidRPr="00171A67">
        <w:rPr>
          <w:rFonts w:ascii="Arial Narrow" w:hAnsi="Arial Narrow"/>
          <w:b/>
          <w:bCs/>
        </w:rPr>
        <w:t xml:space="preserve">de loi Sapin 2 </w:t>
      </w:r>
      <w:r w:rsidR="00BF5096" w:rsidRPr="00171A67">
        <w:rPr>
          <w:rFonts w:ascii="Arial Narrow" w:hAnsi="Arial Narrow"/>
          <w:b/>
          <w:bCs/>
        </w:rPr>
        <w:t>qui</w:t>
      </w:r>
      <w:r w:rsidR="00DE7693" w:rsidRPr="00171A67">
        <w:rPr>
          <w:rFonts w:ascii="Arial Narrow" w:hAnsi="Arial Narrow"/>
          <w:b/>
          <w:bCs/>
        </w:rPr>
        <w:t xml:space="preserve"> </w:t>
      </w:r>
      <w:r w:rsidR="00FE358B" w:rsidRPr="00171A67">
        <w:rPr>
          <w:rFonts w:ascii="Arial Narrow" w:hAnsi="Arial Narrow"/>
          <w:b/>
          <w:bCs/>
        </w:rPr>
        <w:t>vis</w:t>
      </w:r>
      <w:r w:rsidR="003775DC" w:rsidRPr="00171A67">
        <w:rPr>
          <w:rFonts w:ascii="Arial Narrow" w:hAnsi="Arial Narrow"/>
          <w:b/>
          <w:bCs/>
        </w:rPr>
        <w:t>aient à supprimer l’exigence de qualifications</w:t>
      </w:r>
      <w:r w:rsidR="00BF5096" w:rsidRPr="00171A67">
        <w:rPr>
          <w:rFonts w:ascii="Arial Narrow" w:hAnsi="Arial Narrow"/>
          <w:b/>
          <w:bCs/>
        </w:rPr>
        <w:t xml:space="preserve"> </w:t>
      </w:r>
      <w:r w:rsidR="003775DC" w:rsidRPr="00171A67">
        <w:rPr>
          <w:rFonts w:ascii="Arial Narrow" w:hAnsi="Arial Narrow"/>
          <w:b/>
          <w:bCs/>
        </w:rPr>
        <w:t>pour exercer dans l’artisanat</w:t>
      </w:r>
      <w:r w:rsidR="00C47DAE" w:rsidRPr="00171A67">
        <w:rPr>
          <w:rFonts w:ascii="Arial Narrow" w:hAnsi="Arial Narrow"/>
          <w:b/>
          <w:bCs/>
        </w:rPr>
        <w:t xml:space="preserve"> afin de favoriser la création d’emplois. </w:t>
      </w:r>
      <w:r w:rsidR="00DE7693" w:rsidRPr="00171A67">
        <w:rPr>
          <w:rFonts w:ascii="Arial Narrow" w:hAnsi="Arial Narrow"/>
          <w:b/>
          <w:bCs/>
        </w:rPr>
        <w:t>L</w:t>
      </w:r>
      <w:r w:rsidR="00BF5096" w:rsidRPr="00171A67">
        <w:rPr>
          <w:rFonts w:ascii="Arial Narrow" w:hAnsi="Arial Narrow"/>
          <w:b/>
          <w:bCs/>
        </w:rPr>
        <w:t>a qualification est</w:t>
      </w:r>
      <w:r w:rsidR="00DE7693" w:rsidRPr="00171A67">
        <w:rPr>
          <w:rFonts w:ascii="Arial Narrow" w:hAnsi="Arial Narrow"/>
          <w:b/>
          <w:bCs/>
        </w:rPr>
        <w:t xml:space="preserve"> au contraire </w:t>
      </w:r>
      <w:r w:rsidR="00BF5096" w:rsidRPr="00171A67">
        <w:rPr>
          <w:rFonts w:ascii="Arial Narrow" w:hAnsi="Arial Narrow"/>
          <w:b/>
          <w:bCs/>
        </w:rPr>
        <w:t>une con</w:t>
      </w:r>
      <w:r w:rsidR="00DE7693" w:rsidRPr="00171A67">
        <w:rPr>
          <w:rFonts w:ascii="Arial Narrow" w:hAnsi="Arial Narrow"/>
          <w:b/>
          <w:bCs/>
        </w:rPr>
        <w:t>dition nécessaire à l’embauche, et l’UPA se félicite d’avoir convaincu les parlementaires d’abandonner cette piste.</w:t>
      </w:r>
    </w:p>
    <w:p w:rsidR="004F1694" w:rsidRPr="00171A67" w:rsidRDefault="004F1694" w:rsidP="00171A67">
      <w:pPr>
        <w:jc w:val="both"/>
        <w:rPr>
          <w:rFonts w:ascii="Arial Narrow" w:eastAsia="Times New Roman" w:hAnsi="Arial Narrow" w:cs="Tahoma"/>
          <w:b/>
          <w:bCs/>
          <w:lang w:eastAsia="fr-FR"/>
        </w:rPr>
      </w:pPr>
      <w:r w:rsidRPr="00171A67">
        <w:rPr>
          <w:rFonts w:ascii="Arial Narrow" w:hAnsi="Arial Narrow"/>
        </w:rPr>
        <w:t> </w:t>
      </w:r>
      <w:r w:rsidR="007D4F3A" w:rsidRPr="00171A67">
        <w:rPr>
          <w:rFonts w:ascii="Arial Narrow" w:hAnsi="Arial Narrow"/>
          <w:bCs/>
        </w:rPr>
        <w:t xml:space="preserve">Au vu de </w:t>
      </w:r>
      <w:r w:rsidR="00E01704" w:rsidRPr="00171A67">
        <w:rPr>
          <w:rFonts w:ascii="Arial Narrow" w:hAnsi="Arial Narrow"/>
          <w:bCs/>
        </w:rPr>
        <w:t xml:space="preserve">tous </w:t>
      </w:r>
      <w:r w:rsidR="007D4F3A" w:rsidRPr="00171A67">
        <w:rPr>
          <w:rFonts w:ascii="Arial Narrow" w:hAnsi="Arial Narrow"/>
          <w:bCs/>
        </w:rPr>
        <w:t>ces résultats, le président de l’UPA, Jean-Pierre Crouzet a déclaré :</w:t>
      </w:r>
      <w:r w:rsidR="007D4F3A" w:rsidRPr="00171A67">
        <w:rPr>
          <w:rFonts w:ascii="Arial Narrow" w:hAnsi="Arial Narrow"/>
          <w:bCs/>
          <w:i/>
        </w:rPr>
        <w:t xml:space="preserve"> « </w:t>
      </w:r>
      <w:r w:rsidR="003775DC" w:rsidRPr="00171A67">
        <w:rPr>
          <w:rFonts w:ascii="Arial Narrow" w:hAnsi="Arial Narrow"/>
          <w:bCs/>
          <w:i/>
        </w:rPr>
        <w:t>Pour améliorer la situation de l’emploi, j</w:t>
      </w:r>
      <w:r w:rsidR="007D4F3A" w:rsidRPr="00171A67">
        <w:rPr>
          <w:rFonts w:ascii="Arial Narrow" w:hAnsi="Arial Narrow"/>
          <w:bCs/>
          <w:i/>
        </w:rPr>
        <w:t xml:space="preserve">’invite le gouvernement à donner la priorité aux TPE et aux PME </w:t>
      </w:r>
      <w:r w:rsidR="003775DC" w:rsidRPr="00171A67">
        <w:rPr>
          <w:rFonts w:ascii="Arial Narrow" w:hAnsi="Arial Narrow"/>
          <w:bCs/>
          <w:i/>
        </w:rPr>
        <w:t>dans ses choix économiques</w:t>
      </w:r>
      <w:r w:rsidR="007D4F3A" w:rsidRPr="00171A67">
        <w:rPr>
          <w:rFonts w:ascii="Arial Narrow" w:hAnsi="Arial Narrow"/>
          <w:bCs/>
          <w:i/>
        </w:rPr>
        <w:t xml:space="preserve">. </w:t>
      </w:r>
      <w:r w:rsidR="003775DC" w:rsidRPr="00171A67">
        <w:rPr>
          <w:rFonts w:ascii="Arial Narrow" w:hAnsi="Arial Narrow"/>
          <w:bCs/>
          <w:i/>
        </w:rPr>
        <w:t>En particulier,</w:t>
      </w:r>
      <w:r w:rsidR="007D4F3A" w:rsidRPr="00171A67">
        <w:rPr>
          <w:rFonts w:ascii="Arial Narrow" w:hAnsi="Arial Narrow"/>
          <w:bCs/>
          <w:i/>
        </w:rPr>
        <w:t xml:space="preserve"> les mesures </w:t>
      </w:r>
      <w:r w:rsidR="003775DC" w:rsidRPr="00171A67">
        <w:rPr>
          <w:rFonts w:ascii="Arial Narrow" w:hAnsi="Arial Narrow"/>
          <w:bCs/>
          <w:i/>
        </w:rPr>
        <w:t>de</w:t>
      </w:r>
      <w:r w:rsidR="007D4F3A" w:rsidRPr="00171A67">
        <w:rPr>
          <w:rFonts w:ascii="Arial Narrow" w:hAnsi="Arial Narrow"/>
          <w:bCs/>
          <w:i/>
        </w:rPr>
        <w:t xml:space="preserve"> baisse du coût du travail</w:t>
      </w:r>
      <w:r w:rsidR="003775DC" w:rsidRPr="00171A67">
        <w:rPr>
          <w:rFonts w:ascii="Arial Narrow" w:hAnsi="Arial Narrow"/>
          <w:bCs/>
          <w:i/>
        </w:rPr>
        <w:t xml:space="preserve"> annoncées de longue date, </w:t>
      </w:r>
      <w:r w:rsidR="007D4F3A" w:rsidRPr="00171A67">
        <w:rPr>
          <w:rFonts w:ascii="Arial Narrow" w:hAnsi="Arial Narrow"/>
          <w:bCs/>
          <w:i/>
        </w:rPr>
        <w:t xml:space="preserve">doivent impérativement et rapidement être </w:t>
      </w:r>
      <w:r w:rsidR="003775DC" w:rsidRPr="00171A67">
        <w:rPr>
          <w:rFonts w:ascii="Arial Narrow" w:hAnsi="Arial Narrow"/>
          <w:bCs/>
          <w:i/>
        </w:rPr>
        <w:t xml:space="preserve">mises en </w:t>
      </w:r>
      <w:proofErr w:type="spellStart"/>
      <w:r w:rsidR="003775DC" w:rsidRPr="00171A67">
        <w:rPr>
          <w:rFonts w:ascii="Arial Narrow" w:hAnsi="Arial Narrow"/>
          <w:bCs/>
          <w:i/>
        </w:rPr>
        <w:t>oeuvre</w:t>
      </w:r>
      <w:proofErr w:type="spellEnd"/>
      <w:r w:rsidR="007D4F3A" w:rsidRPr="00171A67">
        <w:rPr>
          <w:rFonts w:ascii="Arial Narrow" w:hAnsi="Arial Narrow"/>
          <w:bCs/>
          <w:i/>
        </w:rPr>
        <w:t>.</w:t>
      </w:r>
      <w:r w:rsidR="007D4F3A" w:rsidRPr="00171A67">
        <w:rPr>
          <w:rFonts w:ascii="Tahoma" w:hAnsi="Tahoma" w:cs="Tahoma"/>
          <w:sz w:val="20"/>
          <w:szCs w:val="20"/>
        </w:rPr>
        <w:t xml:space="preserve"> </w:t>
      </w:r>
      <w:r w:rsidRPr="00171A67">
        <w:rPr>
          <w:rFonts w:ascii="Arial Narrow" w:hAnsi="Arial Narrow"/>
          <w:i/>
        </w:rPr>
        <w:t>»</w:t>
      </w:r>
      <w:r w:rsidRPr="00171A67">
        <w:rPr>
          <w:rFonts w:ascii="Arial Narrow" w:eastAsia="Times New Roman" w:hAnsi="Arial Narrow" w:cs="Tahoma"/>
          <w:b/>
          <w:bCs/>
          <w:lang w:eastAsia="fr-FR"/>
        </w:rPr>
        <w:t xml:space="preserve"> </w:t>
      </w:r>
    </w:p>
    <w:p w:rsidR="006A44BF" w:rsidRDefault="00F42361" w:rsidP="00BF268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ajorHAnsi" w:eastAsia="Times New Roman" w:hAnsiTheme="majorHAnsi"/>
          <w:b/>
          <w:i/>
          <w:sz w:val="18"/>
          <w:szCs w:val="18"/>
        </w:rPr>
      </w:pPr>
      <w:r>
        <w:rPr>
          <w:rFonts w:asciiTheme="majorHAnsi" w:eastAsia="Times New Roman" w:hAnsiTheme="majorHAnsi"/>
          <w:b/>
          <w:i/>
          <w:sz w:val="18"/>
          <w:szCs w:val="18"/>
        </w:rPr>
        <w:t xml:space="preserve">  </w:t>
      </w:r>
      <w:r w:rsidR="006A44BF" w:rsidRPr="00492488">
        <w:rPr>
          <w:rFonts w:asciiTheme="majorHAnsi" w:eastAsia="Times New Roman" w:hAnsiTheme="majorHAnsi"/>
          <w:b/>
          <w:i/>
          <w:sz w:val="18"/>
          <w:szCs w:val="18"/>
        </w:rPr>
        <w:t>Contacts presse</w:t>
      </w:r>
    </w:p>
    <w:p w:rsidR="00BF268E" w:rsidRPr="00492488" w:rsidRDefault="00BF268E" w:rsidP="00BF268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ajorHAnsi" w:eastAsia="Times New Roman" w:hAnsiTheme="majorHAnsi"/>
          <w:b/>
          <w:i/>
          <w:sz w:val="8"/>
          <w:szCs w:val="8"/>
        </w:rPr>
      </w:pPr>
    </w:p>
    <w:p w:rsidR="006A44BF" w:rsidRDefault="006A44BF" w:rsidP="00BF268E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/>
          <w:i/>
          <w:color w:val="0000FF"/>
          <w:sz w:val="18"/>
          <w:szCs w:val="18"/>
          <w:u w:val="single"/>
        </w:rPr>
      </w:pPr>
      <w:r w:rsidRPr="00492488">
        <w:rPr>
          <w:rFonts w:asciiTheme="majorHAnsi" w:eastAsia="Times New Roman" w:hAnsiTheme="majorHAnsi"/>
          <w:i/>
          <w:sz w:val="18"/>
          <w:szCs w:val="18"/>
        </w:rPr>
        <w:t xml:space="preserve">Jean-Côme Delerue - Tél : 01.47.63.31.31 - 06.77.64.40.78 -  </w:t>
      </w:r>
      <w:hyperlink r:id="rId9" w:history="1">
        <w:r w:rsidRPr="00492488">
          <w:rPr>
            <w:rFonts w:asciiTheme="majorHAnsi" w:eastAsia="Times New Roman" w:hAnsiTheme="majorHAnsi"/>
            <w:i/>
            <w:color w:val="0000FF"/>
            <w:sz w:val="18"/>
            <w:szCs w:val="18"/>
            <w:u w:val="single"/>
          </w:rPr>
          <w:t>jcdelerue@upa.fr</w:t>
        </w:r>
      </w:hyperlink>
      <w:r w:rsidRPr="00492488">
        <w:rPr>
          <w:rFonts w:asciiTheme="majorHAnsi" w:eastAsia="Times New Roman" w:hAnsiTheme="majorHAnsi"/>
          <w:i/>
          <w:sz w:val="18"/>
          <w:szCs w:val="18"/>
        </w:rPr>
        <w:t xml:space="preserve"> </w:t>
      </w:r>
    </w:p>
    <w:p w:rsidR="00CF6B5B" w:rsidRDefault="006A44BF" w:rsidP="00BF268E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/>
          <w:i/>
          <w:color w:val="0000FF"/>
          <w:sz w:val="18"/>
          <w:szCs w:val="18"/>
          <w:u w:val="single"/>
        </w:rPr>
      </w:pPr>
      <w:r w:rsidRPr="00492488">
        <w:rPr>
          <w:rFonts w:asciiTheme="majorHAnsi" w:eastAsia="Times New Roman" w:hAnsiTheme="majorHAnsi"/>
          <w:i/>
          <w:color w:val="0000FF"/>
          <w:sz w:val="6"/>
          <w:szCs w:val="6"/>
          <w:u w:val="single"/>
        </w:rPr>
        <w:br/>
      </w:r>
      <w:r w:rsidRPr="00492488">
        <w:rPr>
          <w:rFonts w:asciiTheme="majorHAnsi" w:eastAsia="Times New Roman" w:hAnsiTheme="majorHAnsi"/>
          <w:i/>
          <w:sz w:val="18"/>
          <w:szCs w:val="18"/>
        </w:rPr>
        <w:t xml:space="preserve">Philippe </w:t>
      </w:r>
      <w:proofErr w:type="spellStart"/>
      <w:r w:rsidRPr="00492488">
        <w:rPr>
          <w:rFonts w:asciiTheme="majorHAnsi" w:eastAsia="Times New Roman" w:hAnsiTheme="majorHAnsi"/>
          <w:i/>
          <w:sz w:val="18"/>
          <w:szCs w:val="18"/>
        </w:rPr>
        <w:t>Gar</w:t>
      </w:r>
      <w:r w:rsidR="00C47DAE">
        <w:rPr>
          <w:rFonts w:asciiTheme="majorHAnsi" w:eastAsia="Times New Roman" w:hAnsiTheme="majorHAnsi"/>
          <w:i/>
          <w:sz w:val="18"/>
          <w:szCs w:val="18"/>
        </w:rPr>
        <w:t>rachon</w:t>
      </w:r>
      <w:proofErr w:type="spellEnd"/>
      <w:r w:rsidR="00C47DAE">
        <w:rPr>
          <w:rFonts w:asciiTheme="majorHAnsi" w:eastAsia="Times New Roman" w:hAnsiTheme="majorHAnsi"/>
          <w:i/>
          <w:sz w:val="18"/>
          <w:szCs w:val="18"/>
        </w:rPr>
        <w:t xml:space="preserve"> - Tél : 01.47.63.31.31 </w:t>
      </w:r>
    </w:p>
    <w:p w:rsidR="00FD37C2" w:rsidRDefault="00FD37C2">
      <w:pPr>
        <w:spacing w:after="0" w:line="240" w:lineRule="auto"/>
        <w:rPr>
          <w:rFonts w:cs="Calibri"/>
          <w:b/>
          <w:bCs/>
          <w:color w:val="000000"/>
          <w:sz w:val="26"/>
          <w:szCs w:val="26"/>
          <w:u w:val="single"/>
          <w:lang w:eastAsia="fr-FR"/>
        </w:rPr>
      </w:pPr>
    </w:p>
    <w:p w:rsidR="00582510" w:rsidRPr="006B0D2C" w:rsidRDefault="00582510" w:rsidP="005825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1"/>
          <w:szCs w:val="21"/>
          <w:lang w:eastAsia="fr-FR"/>
        </w:rPr>
      </w:pPr>
    </w:p>
    <w:p w:rsidR="00582510" w:rsidRDefault="00582510" w:rsidP="005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b/>
          <w:lang w:eastAsia="fr-FR"/>
        </w:rPr>
        <w:t>*</w:t>
      </w:r>
      <w:r>
        <w:rPr>
          <w:rFonts w:ascii="Arial Narrow" w:eastAsia="Times New Roman" w:hAnsi="Arial Narrow" w:cs="Arial"/>
          <w:sz w:val="20"/>
          <w:szCs w:val="20"/>
          <w:lang w:eastAsia="fr-FR"/>
        </w:rPr>
        <w:t xml:space="preserve"> </w:t>
      </w:r>
      <w:r>
        <w:rPr>
          <w:rFonts w:ascii="Arial Narrow" w:eastAsia="Times New Roman" w:hAnsi="Arial Narrow" w:cs="Arial"/>
          <w:sz w:val="18"/>
          <w:szCs w:val="18"/>
          <w:lang w:eastAsia="fr-FR"/>
        </w:rPr>
        <w:t>Enquête réalisée à la demande de l’UPA par l’Institut I+C dans la première quinzaine du mois de juillet 2016 auprès d’un échantillon représentatif de 4700 entreprises de l’artisanat et du commerce de proximité.</w:t>
      </w:r>
    </w:p>
    <w:p w:rsidR="00582510" w:rsidRDefault="00582510" w:rsidP="00582510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BF268E" w:rsidRDefault="00BF268E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u w:val="single"/>
          <w:lang w:eastAsia="fr-FR"/>
        </w:rPr>
      </w:pPr>
    </w:p>
    <w:p w:rsidR="00BF268E" w:rsidRDefault="00BF268E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u w:val="single"/>
          <w:lang w:eastAsia="fr-FR"/>
        </w:rPr>
      </w:pPr>
    </w:p>
    <w:p w:rsidR="00BF268E" w:rsidRPr="005122BD" w:rsidRDefault="00BF268E" w:rsidP="00BF268E">
      <w:pPr>
        <w:pStyle w:val="TITRE"/>
        <w:pBdr>
          <w:bottom w:val="single" w:sz="4" w:space="1" w:color="auto"/>
        </w:pBdr>
      </w:pPr>
      <w:r>
        <w:t>Conjoncture</w:t>
      </w:r>
    </w:p>
    <w:p w:rsidR="00BF268E" w:rsidRDefault="00BF268E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u w:val="single"/>
          <w:lang w:eastAsia="fr-FR"/>
        </w:rPr>
      </w:pPr>
    </w:p>
    <w:p w:rsidR="00BF268E" w:rsidRDefault="00BF268E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u w:val="single"/>
          <w:lang w:eastAsia="fr-FR"/>
        </w:rPr>
      </w:pPr>
    </w:p>
    <w:p w:rsidR="00A54616" w:rsidRPr="00BF268E" w:rsidRDefault="00A54616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eastAsia="fr-FR"/>
        </w:rPr>
      </w:pPr>
      <w:r w:rsidRPr="00BF268E">
        <w:rPr>
          <w:rFonts w:cs="Calibri"/>
          <w:b/>
          <w:bCs/>
          <w:color w:val="000000"/>
          <w:sz w:val="26"/>
          <w:szCs w:val="26"/>
          <w:lang w:eastAsia="fr-FR"/>
        </w:rPr>
        <w:t xml:space="preserve">Evolution du chiffre d’affaires global </w:t>
      </w:r>
    </w:p>
    <w:p w:rsidR="00A54616" w:rsidRPr="00BF268E" w:rsidRDefault="00A54616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eastAsia="fr-FR"/>
        </w:rPr>
      </w:pPr>
      <w:r w:rsidRPr="00BF268E">
        <w:rPr>
          <w:rFonts w:cs="Calibri"/>
          <w:b/>
          <w:bCs/>
          <w:color w:val="000000"/>
          <w:sz w:val="26"/>
          <w:szCs w:val="26"/>
          <w:lang w:eastAsia="fr-FR"/>
        </w:rPr>
        <w:t>de l’artisanat et du commerce de proximité</w:t>
      </w:r>
    </w:p>
    <w:p w:rsidR="004574F2" w:rsidRPr="004574F2" w:rsidRDefault="004574F2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6"/>
          <w:szCs w:val="26"/>
          <w:lang w:eastAsia="fr-FR"/>
        </w:rPr>
      </w:pPr>
      <w:r w:rsidRPr="004574F2">
        <w:rPr>
          <w:rFonts w:cs="Calibri"/>
          <w:bCs/>
          <w:color w:val="000000"/>
          <w:sz w:val="26"/>
          <w:szCs w:val="26"/>
          <w:lang w:eastAsia="fr-FR"/>
        </w:rPr>
        <w:t>(par</w:t>
      </w:r>
      <w:r>
        <w:rPr>
          <w:rFonts w:cs="Calibri"/>
          <w:bCs/>
          <w:color w:val="000000"/>
          <w:sz w:val="26"/>
          <w:szCs w:val="26"/>
          <w:lang w:eastAsia="fr-FR"/>
        </w:rPr>
        <w:t xml:space="preserve"> </w:t>
      </w:r>
      <w:r w:rsidRPr="004574F2">
        <w:rPr>
          <w:rFonts w:cs="Calibri"/>
          <w:bCs/>
          <w:color w:val="000000"/>
          <w:sz w:val="26"/>
          <w:szCs w:val="26"/>
          <w:lang w:eastAsia="fr-FR"/>
        </w:rPr>
        <w:t>rapport au même trimestre de l’année précédente)</w:t>
      </w:r>
    </w:p>
    <w:p w:rsidR="00A54616" w:rsidRDefault="00A54616" w:rsidP="00A5461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A54616" w:rsidRDefault="00A54616" w:rsidP="00A54616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DC3D21">
        <w:rPr>
          <w:noProof/>
          <w:color w:val="C00000"/>
          <w:lang w:eastAsia="fr-FR"/>
        </w:rPr>
        <w:drawing>
          <wp:inline distT="0" distB="0" distL="0" distR="0" wp14:anchorId="4396C441" wp14:editId="09F3CD54">
            <wp:extent cx="5390707" cy="3072809"/>
            <wp:effectExtent l="0" t="0" r="19685" b="13335"/>
            <wp:docPr id="2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4616" w:rsidRDefault="00A54616" w:rsidP="00A5461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A54616" w:rsidRDefault="00A54616" w:rsidP="00A5461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A54616" w:rsidRPr="00291AB4" w:rsidRDefault="00A54616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u w:val="single"/>
          <w:lang w:eastAsia="fr-FR"/>
        </w:rPr>
      </w:pPr>
      <w:r w:rsidRPr="00291AB4">
        <w:rPr>
          <w:rFonts w:cs="Calibri"/>
          <w:b/>
          <w:bCs/>
          <w:color w:val="000000"/>
          <w:sz w:val="26"/>
          <w:szCs w:val="26"/>
          <w:u w:val="single"/>
          <w:lang w:eastAsia="fr-FR"/>
        </w:rPr>
        <w:t>Résultats comparés des secteurs de l’artisanat et du commerce de proximité</w:t>
      </w:r>
    </w:p>
    <w:p w:rsidR="00A54616" w:rsidRDefault="00A54616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fr-FR"/>
        </w:rPr>
      </w:pPr>
      <w:r>
        <w:rPr>
          <w:rFonts w:cs="Calibri"/>
          <w:b/>
          <w:bCs/>
          <w:color w:val="000000"/>
          <w:lang w:eastAsia="fr-FR"/>
        </w:rPr>
        <w:t xml:space="preserve">Evolution du chiffre d’affaires en valeur du </w:t>
      </w:r>
      <w:r w:rsidR="00BF268E">
        <w:rPr>
          <w:rFonts w:cs="Calibri"/>
          <w:b/>
          <w:bCs/>
          <w:color w:val="000000"/>
          <w:lang w:eastAsia="fr-FR"/>
        </w:rPr>
        <w:t>2</w:t>
      </w:r>
      <w:r w:rsidR="00BF268E" w:rsidRPr="00BF268E">
        <w:rPr>
          <w:rFonts w:cs="Calibri"/>
          <w:b/>
          <w:bCs/>
          <w:color w:val="000000"/>
          <w:vertAlign w:val="superscript"/>
          <w:lang w:eastAsia="fr-FR"/>
        </w:rPr>
        <w:t>ème</w:t>
      </w:r>
      <w:r w:rsidR="00F8184E">
        <w:rPr>
          <w:rFonts w:cs="Calibri"/>
          <w:b/>
          <w:bCs/>
          <w:color w:val="000000"/>
          <w:lang w:eastAsia="fr-FR"/>
        </w:rPr>
        <w:t xml:space="preserve"> </w:t>
      </w:r>
      <w:r>
        <w:rPr>
          <w:rFonts w:cs="Calibri"/>
          <w:b/>
          <w:bCs/>
          <w:color w:val="000000"/>
          <w:lang w:eastAsia="fr-FR"/>
        </w:rPr>
        <w:t>trimestre 201</w:t>
      </w:r>
      <w:r w:rsidR="00F8184E">
        <w:rPr>
          <w:rFonts w:cs="Calibri"/>
          <w:b/>
          <w:bCs/>
          <w:color w:val="000000"/>
          <w:lang w:eastAsia="fr-FR"/>
        </w:rPr>
        <w:t>6</w:t>
      </w:r>
      <w:r>
        <w:rPr>
          <w:rFonts w:cs="Calibri"/>
          <w:b/>
          <w:bCs/>
          <w:color w:val="000000"/>
          <w:lang w:eastAsia="fr-FR"/>
        </w:rPr>
        <w:t xml:space="preserve"> par rapport au </w:t>
      </w:r>
      <w:r w:rsidR="00BF268E">
        <w:rPr>
          <w:rFonts w:cs="Calibri"/>
          <w:b/>
          <w:bCs/>
          <w:color w:val="000000"/>
          <w:lang w:eastAsia="fr-FR"/>
        </w:rPr>
        <w:t>2</w:t>
      </w:r>
      <w:r w:rsidR="00BF268E" w:rsidRPr="00BF268E">
        <w:rPr>
          <w:rFonts w:cs="Calibri"/>
          <w:b/>
          <w:bCs/>
          <w:color w:val="000000"/>
          <w:vertAlign w:val="superscript"/>
          <w:lang w:eastAsia="fr-FR"/>
        </w:rPr>
        <w:t>ème</w:t>
      </w:r>
      <w:r w:rsidR="00DE43EB">
        <w:rPr>
          <w:rFonts w:cs="Calibri"/>
          <w:b/>
          <w:bCs/>
          <w:color w:val="000000"/>
          <w:lang w:eastAsia="fr-FR"/>
        </w:rPr>
        <w:t xml:space="preserve"> </w:t>
      </w:r>
      <w:r w:rsidR="00FE5A9F">
        <w:rPr>
          <w:rFonts w:cs="Calibri"/>
          <w:b/>
          <w:bCs/>
          <w:color w:val="000000"/>
          <w:lang w:eastAsia="fr-FR"/>
        </w:rPr>
        <w:t>trimestre 201</w:t>
      </w:r>
      <w:r w:rsidR="00DE43EB">
        <w:rPr>
          <w:rFonts w:cs="Calibri"/>
          <w:b/>
          <w:bCs/>
          <w:color w:val="000000"/>
          <w:lang w:eastAsia="fr-FR"/>
        </w:rPr>
        <w:t>5</w:t>
      </w:r>
    </w:p>
    <w:p w:rsidR="00A54616" w:rsidRDefault="00E965A2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fr-FR"/>
        </w:rPr>
      </w:pPr>
      <w:r>
        <w:rPr>
          <w:rFonts w:cs="Calibri"/>
          <w:b/>
          <w:bCs/>
          <w:color w:val="000000"/>
          <w:lang w:eastAsia="fr-FR"/>
        </w:rPr>
        <w:t>(et en dessous rappel de l’évolution au cours du trimestre précédent)</w:t>
      </w:r>
    </w:p>
    <w:p w:rsidR="00E965A2" w:rsidRDefault="00E965A2" w:rsidP="00A5461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6"/>
          <w:szCs w:val="26"/>
          <w:u w:val="single"/>
          <w:lang w:eastAsia="fr-FR"/>
        </w:rPr>
      </w:pPr>
    </w:p>
    <w:tbl>
      <w:tblPr>
        <w:tblW w:w="9901" w:type="dxa"/>
        <w:jc w:val="center"/>
        <w:tblInd w:w="70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463"/>
        <w:gridCol w:w="1376"/>
        <w:gridCol w:w="1290"/>
        <w:gridCol w:w="1344"/>
        <w:gridCol w:w="1447"/>
        <w:gridCol w:w="1518"/>
      </w:tblGrid>
      <w:tr w:rsidR="00C47DAE" w:rsidTr="00C47DAE">
        <w:trPr>
          <w:trHeight w:val="908"/>
          <w:jc w:val="center"/>
        </w:trPr>
        <w:tc>
          <w:tcPr>
            <w:tcW w:w="14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8CCE4"/>
          </w:tcPr>
          <w:p w:rsidR="00C47DAE" w:rsidRDefault="00C47DAE" w:rsidP="002F4737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</w:p>
        </w:tc>
        <w:tc>
          <w:tcPr>
            <w:tcW w:w="14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8CCE4"/>
            <w:vAlign w:val="center"/>
            <w:hideMark/>
          </w:tcPr>
          <w:p w:rsidR="00C47DAE" w:rsidRDefault="00C47DAE" w:rsidP="002F4737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>
              <w:rPr>
                <w:rFonts w:eastAsia="Times New Roman" w:cs="Calibri"/>
                <w:b/>
                <w:lang w:eastAsia="fr-FR"/>
              </w:rPr>
              <w:t>Bâtiment</w:t>
            </w:r>
          </w:p>
        </w:tc>
        <w:tc>
          <w:tcPr>
            <w:tcW w:w="13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8CCE4"/>
            <w:vAlign w:val="center"/>
            <w:hideMark/>
          </w:tcPr>
          <w:p w:rsidR="00C47DAE" w:rsidRDefault="00C47DAE" w:rsidP="002F4737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>
              <w:rPr>
                <w:rFonts w:eastAsia="Times New Roman" w:cs="Calibri"/>
                <w:b/>
                <w:lang w:eastAsia="fr-FR"/>
              </w:rPr>
              <w:t>Travaux publics</w:t>
            </w:r>
          </w:p>
        </w:tc>
        <w:tc>
          <w:tcPr>
            <w:tcW w:w="12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8CCE4"/>
            <w:vAlign w:val="center"/>
            <w:hideMark/>
          </w:tcPr>
          <w:p w:rsidR="00C47DAE" w:rsidRDefault="00C47DAE" w:rsidP="002F47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Services</w:t>
            </w:r>
          </w:p>
        </w:tc>
        <w:tc>
          <w:tcPr>
            <w:tcW w:w="134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8CCE4"/>
            <w:vAlign w:val="center"/>
            <w:hideMark/>
          </w:tcPr>
          <w:p w:rsidR="00C47DAE" w:rsidRDefault="00C47DAE" w:rsidP="002F47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Fabrication</w:t>
            </w:r>
          </w:p>
        </w:tc>
        <w:tc>
          <w:tcPr>
            <w:tcW w:w="144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8CCE4"/>
            <w:vAlign w:val="center"/>
            <w:hideMark/>
          </w:tcPr>
          <w:p w:rsidR="00C47DAE" w:rsidRDefault="00C47DAE" w:rsidP="002F47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Alimentation</w:t>
            </w:r>
          </w:p>
        </w:tc>
        <w:tc>
          <w:tcPr>
            <w:tcW w:w="15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8CCE4"/>
            <w:vAlign w:val="center"/>
            <w:hideMark/>
          </w:tcPr>
          <w:p w:rsidR="00C47DAE" w:rsidRDefault="00C47DAE" w:rsidP="002F47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Hôtels-Cafés-Restaurants</w:t>
            </w:r>
          </w:p>
        </w:tc>
      </w:tr>
      <w:tr w:rsidR="00C47DAE" w:rsidTr="00C47DAE">
        <w:trPr>
          <w:trHeight w:val="576"/>
          <w:jc w:val="center"/>
        </w:trPr>
        <w:tc>
          <w:tcPr>
            <w:tcW w:w="14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C47DAE" w:rsidRDefault="00C47DAE" w:rsidP="00F818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48DD4" w:themeColor="text2" w:themeTint="99"/>
                <w:sz w:val="24"/>
                <w:szCs w:val="24"/>
                <w:lang w:eastAsia="fr-FR"/>
              </w:rPr>
            </w:pPr>
          </w:p>
          <w:p w:rsidR="00C47DAE" w:rsidRDefault="00C47DAE" w:rsidP="00F818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48DD4" w:themeColor="text2" w:themeTint="99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548DD4" w:themeColor="text2" w:themeTint="99"/>
                <w:sz w:val="24"/>
                <w:szCs w:val="24"/>
                <w:lang w:eastAsia="fr-FR"/>
              </w:rPr>
              <w:t>2</w:t>
            </w:r>
            <w:r w:rsidRPr="00C47DAE">
              <w:rPr>
                <w:rFonts w:eastAsia="Times New Roman" w:cs="Calibri"/>
                <w:b/>
                <w:bCs/>
                <w:color w:val="548DD4" w:themeColor="text2" w:themeTint="99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 w:cs="Calibri"/>
                <w:b/>
                <w:bCs/>
                <w:color w:val="548DD4" w:themeColor="text2" w:themeTint="99"/>
                <w:sz w:val="24"/>
                <w:szCs w:val="24"/>
                <w:lang w:eastAsia="fr-FR"/>
              </w:rPr>
              <w:t xml:space="preserve"> T 2016</w:t>
            </w:r>
          </w:p>
          <w:p w:rsidR="00C47DAE" w:rsidRPr="00F8184E" w:rsidRDefault="00C47DAE" w:rsidP="00F818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548DD4" w:themeColor="text2" w:themeTint="99"/>
                <w:sz w:val="24"/>
                <w:szCs w:val="24"/>
                <w:lang w:eastAsia="fr-FR"/>
              </w:rPr>
            </w:pPr>
          </w:p>
        </w:tc>
        <w:tc>
          <w:tcPr>
            <w:tcW w:w="14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C47DAE" w:rsidRDefault="00C47DAE" w:rsidP="00F818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8184E">
              <w:rPr>
                <w:rFonts w:eastAsia="Times New Roman" w:cs="Calibri"/>
                <w:b/>
                <w:bCs/>
                <w:color w:val="548DD4" w:themeColor="text2" w:themeTint="99"/>
                <w:sz w:val="24"/>
                <w:szCs w:val="24"/>
                <w:lang w:eastAsia="fr-FR"/>
              </w:rPr>
              <w:t>0,5%</w:t>
            </w:r>
          </w:p>
        </w:tc>
        <w:tc>
          <w:tcPr>
            <w:tcW w:w="13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C47DAE" w:rsidRDefault="00C47DAE" w:rsidP="00F818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F8184E">
              <w:rPr>
                <w:rFonts w:eastAsia="Times New Roman" w:cs="Calibri"/>
                <w:b/>
                <w:bCs/>
                <w:color w:val="548DD4" w:themeColor="text2" w:themeTint="99"/>
                <w:sz w:val="24"/>
                <w:szCs w:val="24"/>
                <w:lang w:eastAsia="fr-FR"/>
              </w:rPr>
              <w:t>1%</w:t>
            </w:r>
          </w:p>
        </w:tc>
        <w:tc>
          <w:tcPr>
            <w:tcW w:w="12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C47DAE" w:rsidRDefault="00C47DAE" w:rsidP="00BF26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FE5A9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1,5</w:t>
            </w:r>
            <w:r w:rsidRPr="00FE5A9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4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C47DAE" w:rsidRDefault="00C47DAE" w:rsidP="00BF268E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fr-FR"/>
              </w:rPr>
            </w:pPr>
            <w:r w:rsidRPr="00FE5A9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1</w:t>
            </w:r>
            <w:r w:rsidRPr="00FE5A9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4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C47DAE" w:rsidRDefault="00C47DAE" w:rsidP="00A546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FE5A9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1,5</w:t>
            </w:r>
            <w:r w:rsidRPr="00FE5A9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5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:rsidR="00C47DAE" w:rsidRDefault="00C47DAE" w:rsidP="00BF26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fr-FR"/>
              </w:rPr>
              <w:t>-5%</w:t>
            </w:r>
          </w:p>
        </w:tc>
      </w:tr>
      <w:tr w:rsidR="00C47DAE" w:rsidTr="00C47DAE">
        <w:trPr>
          <w:trHeight w:val="576"/>
          <w:jc w:val="center"/>
        </w:trPr>
        <w:tc>
          <w:tcPr>
            <w:tcW w:w="14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:rsidR="00C47DAE" w:rsidRDefault="00C47DAE" w:rsidP="008C36C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548DD4" w:themeColor="text2" w:themeTint="99"/>
                <w:sz w:val="24"/>
                <w:szCs w:val="24"/>
                <w:lang w:eastAsia="fr-FR"/>
              </w:rPr>
            </w:pPr>
          </w:p>
          <w:p w:rsidR="00C47DAE" w:rsidRDefault="00C47DAE" w:rsidP="008C36C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548DD4" w:themeColor="text2" w:themeTint="99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color w:val="548DD4" w:themeColor="text2" w:themeTint="99"/>
                <w:sz w:val="24"/>
                <w:szCs w:val="24"/>
                <w:lang w:eastAsia="fr-FR"/>
              </w:rPr>
              <w:t xml:space="preserve">1er </w:t>
            </w:r>
            <w:r w:rsidR="008169FA">
              <w:rPr>
                <w:rFonts w:eastAsia="Times New Roman" w:cs="Calibri"/>
                <w:bCs/>
                <w:color w:val="548DD4" w:themeColor="text2" w:themeTint="99"/>
                <w:sz w:val="24"/>
                <w:szCs w:val="24"/>
                <w:lang w:eastAsia="fr-FR"/>
              </w:rPr>
              <w:t>T 2016</w:t>
            </w:r>
          </w:p>
          <w:p w:rsidR="00C47DAE" w:rsidRPr="00BF268E" w:rsidRDefault="00C47DAE" w:rsidP="008C36C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548DD4" w:themeColor="text2" w:themeTint="99"/>
                <w:sz w:val="24"/>
                <w:szCs w:val="24"/>
                <w:lang w:eastAsia="fr-FR"/>
              </w:rPr>
            </w:pPr>
          </w:p>
        </w:tc>
        <w:tc>
          <w:tcPr>
            <w:tcW w:w="146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C47DAE" w:rsidRPr="00BF268E" w:rsidRDefault="00C47DAE" w:rsidP="008C36C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fr-FR"/>
              </w:rPr>
            </w:pPr>
            <w:r w:rsidRPr="00BF268E">
              <w:rPr>
                <w:rFonts w:eastAsia="Times New Roman" w:cs="Calibri"/>
                <w:bCs/>
                <w:color w:val="548DD4" w:themeColor="text2" w:themeTint="99"/>
                <w:sz w:val="24"/>
                <w:szCs w:val="24"/>
                <w:lang w:eastAsia="fr-FR"/>
              </w:rPr>
              <w:t>0,5%</w:t>
            </w:r>
          </w:p>
        </w:tc>
        <w:tc>
          <w:tcPr>
            <w:tcW w:w="13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C47DAE" w:rsidRPr="00BF268E" w:rsidRDefault="00C47DAE" w:rsidP="008C36CA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fr-FR"/>
              </w:rPr>
            </w:pPr>
            <w:r w:rsidRPr="00BF268E">
              <w:rPr>
                <w:rFonts w:eastAsia="Times New Roman" w:cs="Calibri"/>
                <w:bCs/>
                <w:color w:val="FF0000"/>
                <w:sz w:val="24"/>
                <w:szCs w:val="24"/>
                <w:lang w:eastAsia="fr-FR"/>
              </w:rPr>
              <w:t>-2%</w:t>
            </w:r>
          </w:p>
        </w:tc>
        <w:tc>
          <w:tcPr>
            <w:tcW w:w="12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C47DAE" w:rsidRPr="00BF268E" w:rsidRDefault="00C47DAE" w:rsidP="008C36C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0000"/>
                <w:sz w:val="24"/>
                <w:szCs w:val="24"/>
                <w:lang w:eastAsia="fr-FR"/>
              </w:rPr>
            </w:pPr>
            <w:r w:rsidRPr="00BF268E">
              <w:rPr>
                <w:rFonts w:eastAsia="Times New Roman" w:cs="Calibri"/>
                <w:bCs/>
                <w:color w:val="FF0000"/>
                <w:sz w:val="24"/>
                <w:szCs w:val="24"/>
                <w:lang w:eastAsia="fr-FR"/>
              </w:rPr>
              <w:t>-2%</w:t>
            </w:r>
          </w:p>
        </w:tc>
        <w:tc>
          <w:tcPr>
            <w:tcW w:w="134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C47DAE" w:rsidRPr="00BF268E" w:rsidRDefault="00C47DAE" w:rsidP="008C36CA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fr-FR"/>
              </w:rPr>
            </w:pPr>
            <w:r w:rsidRPr="00BF268E">
              <w:rPr>
                <w:rFonts w:eastAsia="Times New Roman" w:cs="Calibri"/>
                <w:bCs/>
                <w:color w:val="FF0000"/>
                <w:sz w:val="24"/>
                <w:szCs w:val="24"/>
                <w:lang w:eastAsia="fr-FR"/>
              </w:rPr>
              <w:t>-2%</w:t>
            </w:r>
          </w:p>
        </w:tc>
        <w:tc>
          <w:tcPr>
            <w:tcW w:w="144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C47DAE" w:rsidRPr="00BF268E" w:rsidRDefault="00C47DAE" w:rsidP="008C36CA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fr-FR"/>
              </w:rPr>
            </w:pPr>
            <w:r w:rsidRPr="00BF268E">
              <w:rPr>
                <w:rFonts w:eastAsia="Times New Roman" w:cs="Calibri"/>
                <w:bCs/>
                <w:color w:val="548DD4" w:themeColor="text2" w:themeTint="99"/>
                <w:sz w:val="24"/>
                <w:szCs w:val="24"/>
                <w:lang w:eastAsia="fr-FR"/>
              </w:rPr>
              <w:t>1%</w:t>
            </w:r>
          </w:p>
        </w:tc>
        <w:tc>
          <w:tcPr>
            <w:tcW w:w="15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</w:tcPr>
          <w:p w:rsidR="00C47DAE" w:rsidRPr="00BF268E" w:rsidRDefault="00C47DAE" w:rsidP="008C36CA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fr-FR"/>
              </w:rPr>
            </w:pPr>
            <w:r w:rsidRPr="00BF268E">
              <w:rPr>
                <w:rFonts w:eastAsia="Times New Roman" w:cs="Calibri"/>
                <w:bCs/>
                <w:color w:val="FF0000"/>
                <w:sz w:val="24"/>
                <w:szCs w:val="24"/>
                <w:lang w:eastAsia="fr-FR"/>
              </w:rPr>
              <w:t>-6%</w:t>
            </w:r>
          </w:p>
        </w:tc>
      </w:tr>
    </w:tbl>
    <w:p w:rsidR="00A54616" w:rsidRDefault="00A54616" w:rsidP="00A54616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BF268E" w:rsidRDefault="00BF268E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u w:val="single"/>
          <w:lang w:eastAsia="fr-FR"/>
        </w:rPr>
      </w:pP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u w:val="single"/>
          <w:lang w:eastAsia="fr-FR"/>
        </w:rPr>
        <w:br w:type="page"/>
      </w:r>
    </w:p>
    <w:p w:rsidR="00BF268E" w:rsidRDefault="00BF268E" w:rsidP="00BF268E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/>
          <w:i/>
          <w:color w:val="0000FF"/>
          <w:sz w:val="18"/>
          <w:szCs w:val="18"/>
          <w:u w:val="single"/>
        </w:rPr>
      </w:pPr>
    </w:p>
    <w:p w:rsidR="00BF268E" w:rsidRPr="005122BD" w:rsidRDefault="00BF268E" w:rsidP="00BF268E">
      <w:pPr>
        <w:pStyle w:val="TITRE"/>
        <w:pBdr>
          <w:bottom w:val="single" w:sz="4" w:space="1" w:color="auto"/>
        </w:pBdr>
      </w:pPr>
      <w:r>
        <w:t xml:space="preserve">NIVEAUX D’EMBAUCHE </w:t>
      </w:r>
    </w:p>
    <w:p w:rsidR="00BF268E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  <w:lang w:eastAsia="fr-FR"/>
        </w:rPr>
      </w:pPr>
    </w:p>
    <w:p w:rsidR="00BF268E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6"/>
          <w:szCs w:val="26"/>
          <w:lang w:eastAsia="fr-FR"/>
        </w:rPr>
      </w:pP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 xml:space="preserve">Proportion d’entreprises de proximité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br/>
      </w: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>ayant embauché au cours du premier semestre 201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>6</w:t>
      </w: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26"/>
          <w:szCs w:val="26"/>
          <w:lang w:eastAsia="fr-FR"/>
        </w:rPr>
        <w:t>19</w:t>
      </w:r>
      <w:r w:rsidRPr="005D4C1F">
        <w:rPr>
          <w:rFonts w:asciiTheme="minorHAnsi" w:hAnsiTheme="minorHAnsi" w:cstheme="minorHAnsi"/>
          <w:b/>
          <w:bCs/>
          <w:color w:val="FF0000"/>
          <w:sz w:val="26"/>
          <w:szCs w:val="26"/>
          <w:lang w:eastAsia="fr-FR"/>
        </w:rPr>
        <w:t>%</w:t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Cs/>
          <w:i/>
          <w:color w:val="000000"/>
          <w:lang w:eastAsia="fr-FR"/>
        </w:rPr>
      </w:pPr>
      <w:r>
        <w:rPr>
          <w:rFonts w:asciiTheme="minorHAnsi" w:hAnsiTheme="minorHAnsi" w:cstheme="minorHAnsi"/>
          <w:bCs/>
          <w:i/>
          <w:color w:val="000000"/>
          <w:lang w:eastAsia="fr-FR"/>
        </w:rPr>
        <w:t xml:space="preserve">(parmi celles employant au moins un  salarié) </w:t>
      </w:r>
    </w:p>
    <w:p w:rsidR="00BF268E" w:rsidRPr="00223CBC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Cs/>
          <w:i/>
          <w:color w:val="000000"/>
          <w:sz w:val="10"/>
          <w:szCs w:val="10"/>
          <w:lang w:eastAsia="fr-FR"/>
        </w:rPr>
      </w:pPr>
    </w:p>
    <w:p w:rsidR="00BF268E" w:rsidRPr="004D254B" w:rsidRDefault="00BF268E" w:rsidP="00BF268E">
      <w:pPr>
        <w:jc w:val="center"/>
        <w:rPr>
          <w:rFonts w:asciiTheme="minorHAnsi" w:hAnsiTheme="minorHAnsi" w:cstheme="minorHAnsi"/>
          <w:bCs/>
          <w:i/>
          <w:color w:val="000000"/>
          <w:lang w:eastAsia="fr-FR"/>
        </w:rPr>
      </w:pPr>
      <w:r>
        <w:rPr>
          <w:rFonts w:asciiTheme="minorHAnsi" w:hAnsiTheme="minorHAnsi" w:cstheme="minorHAnsi"/>
          <w:bCs/>
          <w:i/>
          <w:color w:val="000000"/>
          <w:lang w:eastAsia="fr-FR"/>
        </w:rPr>
        <w:t>Données générales</w:t>
      </w:r>
      <w:r>
        <w:rPr>
          <w:rFonts w:asciiTheme="minorHAnsi" w:hAnsiTheme="minorHAnsi" w:cstheme="minorHAnsi"/>
          <w:bCs/>
          <w:i/>
          <w:color w:val="000000"/>
          <w:lang w:eastAsia="fr-FR"/>
        </w:rPr>
        <w:br/>
      </w:r>
      <w:r w:rsidRPr="00C46B35">
        <w:rPr>
          <w:rFonts w:asciiTheme="minorHAnsi" w:hAnsiTheme="minorHAnsi" w:cstheme="minorHAnsi"/>
          <w:noProof/>
          <w:color w:val="000000"/>
          <w:lang w:eastAsia="fr-FR"/>
        </w:rPr>
        <w:drawing>
          <wp:inline distT="0" distB="0" distL="0" distR="0" wp14:anchorId="552D9F72" wp14:editId="524AAFA1">
            <wp:extent cx="5667154" cy="2775098"/>
            <wp:effectExtent l="0" t="0" r="10160" b="25400"/>
            <wp:docPr id="3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Cs/>
          <w:i/>
          <w:color w:val="000000"/>
          <w:lang w:eastAsia="fr-FR"/>
        </w:rPr>
      </w:pP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Cs/>
          <w:i/>
          <w:color w:val="000000"/>
          <w:lang w:eastAsia="fr-FR"/>
        </w:rPr>
      </w:pPr>
      <w:r>
        <w:rPr>
          <w:rFonts w:asciiTheme="minorHAnsi" w:hAnsiTheme="minorHAnsi" w:cstheme="minorHAnsi"/>
          <w:bCs/>
          <w:i/>
          <w:color w:val="000000"/>
          <w:lang w:eastAsia="fr-FR"/>
        </w:rPr>
        <w:t>Détails selon les secteurs</w:t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noProof/>
          <w:color w:val="000000"/>
          <w:lang w:eastAsia="fr-FR"/>
        </w:rPr>
      </w:pPr>
      <w:r w:rsidRPr="0013255A">
        <w:rPr>
          <w:rFonts w:asciiTheme="minorHAnsi" w:hAnsiTheme="minorHAnsi" w:cstheme="minorHAnsi"/>
          <w:bCs/>
          <w:noProof/>
          <w:color w:val="000000"/>
          <w:lang w:eastAsia="fr-FR"/>
        </w:rPr>
        <w:drawing>
          <wp:inline distT="0" distB="0" distL="0" distR="0" wp14:anchorId="16409DD0" wp14:editId="47F304BC">
            <wp:extent cx="5629275" cy="3152775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noProof/>
          <w:color w:val="000000"/>
          <w:lang w:eastAsia="fr-FR"/>
        </w:rPr>
      </w:pPr>
    </w:p>
    <w:p w:rsidR="00BF268E" w:rsidRDefault="00BF268E" w:rsidP="00BF268E">
      <w:pPr>
        <w:spacing w:after="0" w:line="240" w:lineRule="auto"/>
        <w:rPr>
          <w:smallCaps/>
          <w:sz w:val="32"/>
          <w:szCs w:val="32"/>
          <w:lang w:eastAsia="fr-FR"/>
        </w:rPr>
      </w:pPr>
      <w:r>
        <w:br w:type="page"/>
      </w:r>
    </w:p>
    <w:p w:rsidR="00BF268E" w:rsidRDefault="00BF268E" w:rsidP="00BF268E">
      <w:pPr>
        <w:pStyle w:val="TITRE"/>
      </w:pPr>
      <w:r>
        <w:t>INTENTIONS D’EMBAUCHE</w:t>
      </w:r>
    </w:p>
    <w:p w:rsidR="00BF268E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</w:pPr>
    </w:p>
    <w:p w:rsidR="00BF268E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6"/>
          <w:szCs w:val="26"/>
          <w:lang w:eastAsia="fr-FR"/>
        </w:rPr>
      </w:pP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 xml:space="preserve">Proportion d’entreprises de proximité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br/>
        <w:t>prévoyant d’</w:t>
      </w: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>embauch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>er</w:t>
      </w: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 xml:space="preserve"> au cours du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>second</w:t>
      </w: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 xml:space="preserve"> semestre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 xml:space="preserve">2016 </w:t>
      </w: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 xml:space="preserve">: </w:t>
      </w:r>
      <w:r>
        <w:rPr>
          <w:rFonts w:asciiTheme="minorHAnsi" w:hAnsiTheme="minorHAnsi" w:cstheme="minorHAnsi"/>
          <w:b/>
          <w:bCs/>
          <w:color w:val="FF0000"/>
          <w:sz w:val="26"/>
          <w:szCs w:val="26"/>
          <w:lang w:eastAsia="fr-FR"/>
        </w:rPr>
        <w:t>11</w:t>
      </w:r>
      <w:r w:rsidRPr="005D4C1F">
        <w:rPr>
          <w:rFonts w:asciiTheme="minorHAnsi" w:hAnsiTheme="minorHAnsi" w:cstheme="minorHAnsi"/>
          <w:b/>
          <w:bCs/>
          <w:color w:val="FF0000"/>
          <w:sz w:val="26"/>
          <w:szCs w:val="26"/>
          <w:lang w:eastAsia="fr-FR"/>
        </w:rPr>
        <w:t>%</w:t>
      </w:r>
    </w:p>
    <w:p w:rsidR="00BF268E" w:rsidRPr="005D4C1F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</w:pP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Cs/>
          <w:i/>
          <w:color w:val="000000"/>
          <w:lang w:eastAsia="fr-FR"/>
        </w:rPr>
      </w:pPr>
      <w:r>
        <w:rPr>
          <w:rFonts w:asciiTheme="minorHAnsi" w:hAnsiTheme="minorHAnsi" w:cstheme="minorHAnsi"/>
          <w:bCs/>
          <w:i/>
          <w:color w:val="000000"/>
          <w:lang w:eastAsia="fr-FR"/>
        </w:rPr>
        <w:t>Données générales</w:t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Cs/>
          <w:i/>
          <w:color w:val="000000"/>
          <w:lang w:eastAsia="fr-FR"/>
        </w:rPr>
      </w:pPr>
      <w:r w:rsidRPr="00C46B35">
        <w:rPr>
          <w:rFonts w:asciiTheme="minorHAnsi" w:hAnsiTheme="minorHAnsi" w:cstheme="minorHAnsi"/>
          <w:noProof/>
          <w:color w:val="000000"/>
          <w:lang w:eastAsia="fr-FR"/>
        </w:rPr>
        <w:drawing>
          <wp:inline distT="0" distB="0" distL="0" distR="0" wp14:anchorId="510987C6" wp14:editId="75AA8AD9">
            <wp:extent cx="5667154" cy="2775098"/>
            <wp:effectExtent l="0" t="0" r="10160" b="25400"/>
            <wp:docPr id="4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Cs/>
          <w:i/>
          <w:color w:val="000000"/>
          <w:lang w:eastAsia="fr-FR"/>
        </w:rPr>
      </w:pPr>
    </w:p>
    <w:p w:rsidR="00BF268E" w:rsidRPr="003B7C7C" w:rsidRDefault="00BF268E" w:rsidP="00BF268E">
      <w:pPr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Cs/>
          <w:i/>
          <w:color w:val="000000"/>
          <w:lang w:eastAsia="fr-FR"/>
        </w:rPr>
      </w:pPr>
      <w:r>
        <w:rPr>
          <w:rFonts w:asciiTheme="minorHAnsi" w:hAnsiTheme="minorHAnsi" w:cstheme="minorHAnsi"/>
          <w:bCs/>
          <w:i/>
          <w:color w:val="000000"/>
          <w:lang w:eastAsia="fr-FR"/>
        </w:rPr>
        <w:t>Détails selon les secteurs</w:t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noProof/>
          <w:color w:val="000000"/>
          <w:lang w:eastAsia="fr-FR"/>
        </w:rPr>
      </w:pPr>
      <w:r w:rsidRPr="0013255A">
        <w:rPr>
          <w:rFonts w:asciiTheme="minorHAnsi" w:hAnsiTheme="minorHAnsi" w:cstheme="minorHAnsi"/>
          <w:bCs/>
          <w:noProof/>
          <w:color w:val="000000"/>
          <w:lang w:eastAsia="fr-FR"/>
        </w:rPr>
        <w:drawing>
          <wp:inline distT="0" distB="0" distL="0" distR="0" wp14:anchorId="2A9D9175" wp14:editId="79E1FB42">
            <wp:extent cx="5629275" cy="3152775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noProof/>
          <w:color w:val="000000"/>
          <w:lang w:eastAsia="fr-FR"/>
        </w:rPr>
      </w:pPr>
    </w:p>
    <w:p w:rsidR="00BF268E" w:rsidRDefault="00BF268E" w:rsidP="00BF268E">
      <w:pPr>
        <w:spacing w:after="0" w:line="240" w:lineRule="auto"/>
        <w:rPr>
          <w:sz w:val="32"/>
          <w:szCs w:val="32"/>
        </w:rPr>
      </w:pPr>
    </w:p>
    <w:p w:rsidR="00BF268E" w:rsidRDefault="00BF268E" w:rsidP="00BF268E">
      <w:pPr>
        <w:spacing w:after="0" w:line="240" w:lineRule="auto"/>
        <w:rPr>
          <w:smallCaps/>
          <w:sz w:val="32"/>
          <w:szCs w:val="32"/>
          <w:lang w:eastAsia="fr-FR"/>
        </w:rPr>
      </w:pPr>
      <w:r>
        <w:rPr>
          <w:sz w:val="32"/>
          <w:szCs w:val="32"/>
        </w:rPr>
        <w:br w:type="page"/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noProof/>
          <w:color w:val="000000"/>
          <w:lang w:eastAsia="fr-FR"/>
        </w:rPr>
      </w:pPr>
    </w:p>
    <w:p w:rsidR="00BF268E" w:rsidRDefault="00BF268E" w:rsidP="00BF268E">
      <w:pPr>
        <w:pStyle w:val="TITRE"/>
      </w:pPr>
      <w:r>
        <w:t>MOTIFS DE NON EMBAUCHE</w:t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ind w:left="-851"/>
        <w:jc w:val="center"/>
        <w:rPr>
          <w:rFonts w:asciiTheme="minorHAnsi" w:hAnsiTheme="minorHAnsi" w:cstheme="minorHAnsi"/>
          <w:noProof/>
          <w:color w:val="000000"/>
          <w:sz w:val="24"/>
          <w:szCs w:val="24"/>
          <w:lang w:eastAsia="fr-FR"/>
        </w:rPr>
      </w:pP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ind w:left="-851"/>
        <w:jc w:val="center"/>
        <w:rPr>
          <w:rFonts w:asciiTheme="minorHAnsi" w:hAnsiTheme="minorHAnsi" w:cstheme="minorHAnsi"/>
          <w:noProof/>
          <w:color w:val="000000"/>
          <w:lang w:eastAsia="fr-FR"/>
        </w:rPr>
      </w:pPr>
      <w:r w:rsidRPr="00C46B35">
        <w:rPr>
          <w:rFonts w:asciiTheme="minorHAnsi" w:hAnsiTheme="minorHAnsi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6D71174C" wp14:editId="2697B646">
            <wp:extent cx="6347638" cy="3306725"/>
            <wp:effectExtent l="0" t="0" r="0" b="8255"/>
            <wp:docPr id="7" name="Obje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noProof/>
          <w:color w:val="000000"/>
          <w:lang w:eastAsia="fr-FR"/>
        </w:rPr>
      </w:pPr>
    </w:p>
    <w:p w:rsidR="00BF268E" w:rsidRDefault="00BF268E" w:rsidP="00BF268E">
      <w:pPr>
        <w:spacing w:after="0" w:line="240" w:lineRule="auto"/>
        <w:rPr>
          <w:smallCaps/>
          <w:sz w:val="32"/>
          <w:szCs w:val="32"/>
          <w:lang w:eastAsia="fr-FR"/>
        </w:rPr>
      </w:pPr>
    </w:p>
    <w:p w:rsidR="00BF268E" w:rsidRDefault="00BF268E" w:rsidP="00BF268E">
      <w:pPr>
        <w:pStyle w:val="TITRE"/>
      </w:pPr>
      <w:r>
        <w:t>DIFFICULTES DE RECRUTEMENT</w:t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ind w:left="-851"/>
        <w:jc w:val="center"/>
        <w:rPr>
          <w:rFonts w:asciiTheme="minorHAnsi" w:hAnsiTheme="minorHAnsi" w:cstheme="minorHAnsi"/>
          <w:noProof/>
          <w:color w:val="000000"/>
          <w:sz w:val="24"/>
          <w:szCs w:val="24"/>
          <w:lang w:eastAsia="fr-FR"/>
        </w:rPr>
      </w:pPr>
    </w:p>
    <w:p w:rsidR="00BF268E" w:rsidRDefault="00BF268E" w:rsidP="00BF268E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FF0000"/>
          <w:sz w:val="26"/>
          <w:szCs w:val="26"/>
          <w:lang w:eastAsia="fr-FR"/>
        </w:rPr>
      </w:pP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>Proportion d’entreprises de proximité ayant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 xml:space="preserve"> rencontré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br/>
        <w:t>des difficultés de recrutement</w:t>
      </w: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 xml:space="preserve"> au cours du premier semestre 201</w:t>
      </w:r>
      <w:r w:rsidR="000130EA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>6</w:t>
      </w:r>
      <w:r w:rsidRPr="005D4C1F"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t xml:space="preserve"> : </w:t>
      </w:r>
      <w:r>
        <w:rPr>
          <w:rFonts w:asciiTheme="minorHAnsi" w:hAnsiTheme="minorHAnsi" w:cstheme="minorHAnsi"/>
          <w:b/>
          <w:bCs/>
          <w:color w:val="FF0000"/>
          <w:sz w:val="26"/>
          <w:szCs w:val="26"/>
          <w:lang w:eastAsia="fr-FR"/>
        </w:rPr>
        <w:t>2</w:t>
      </w:r>
      <w:r w:rsidR="000130EA">
        <w:rPr>
          <w:rFonts w:asciiTheme="minorHAnsi" w:hAnsiTheme="minorHAnsi" w:cstheme="minorHAnsi"/>
          <w:b/>
          <w:bCs/>
          <w:color w:val="FF0000"/>
          <w:sz w:val="26"/>
          <w:szCs w:val="26"/>
          <w:lang w:eastAsia="fr-FR"/>
        </w:rPr>
        <w:t>6</w:t>
      </w:r>
      <w:r w:rsidRPr="005D4C1F">
        <w:rPr>
          <w:rFonts w:asciiTheme="minorHAnsi" w:hAnsiTheme="minorHAnsi" w:cstheme="minorHAnsi"/>
          <w:b/>
          <w:bCs/>
          <w:color w:val="FF0000"/>
          <w:sz w:val="26"/>
          <w:szCs w:val="26"/>
          <w:lang w:eastAsia="fr-FR"/>
        </w:rPr>
        <w:t>%</w:t>
      </w:r>
    </w:p>
    <w:p w:rsidR="00BF268E" w:rsidRDefault="00BF268E" w:rsidP="00BF268E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</w:pP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noProof/>
          <w:color w:val="000000"/>
          <w:lang w:eastAsia="fr-FR"/>
        </w:rPr>
      </w:pPr>
      <w:r>
        <w:rPr>
          <w:rFonts w:asciiTheme="minorHAnsi" w:hAnsiTheme="minorHAnsi" w:cstheme="minorHAnsi"/>
          <w:bCs/>
          <w:i/>
          <w:color w:val="000000"/>
          <w:lang w:eastAsia="fr-FR"/>
        </w:rPr>
        <w:t>Détails selon les secteurs</w:t>
      </w:r>
    </w:p>
    <w:p w:rsidR="00BF268E" w:rsidRDefault="00BF268E" w:rsidP="00BF268E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</w:pPr>
      <w:r w:rsidRPr="0013255A">
        <w:rPr>
          <w:rFonts w:asciiTheme="minorHAnsi" w:hAnsiTheme="minorHAnsi" w:cstheme="minorHAnsi"/>
          <w:bCs/>
          <w:noProof/>
          <w:color w:val="000000"/>
          <w:lang w:eastAsia="fr-FR"/>
        </w:rPr>
        <w:drawing>
          <wp:inline distT="0" distB="0" distL="0" distR="0" wp14:anchorId="2538520E" wp14:editId="7CB0A685">
            <wp:extent cx="5629275" cy="3152775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F268E" w:rsidRDefault="00BF268E" w:rsidP="00BF268E">
      <w:pPr>
        <w:tabs>
          <w:tab w:val="left" w:pos="1701"/>
          <w:tab w:val="left" w:pos="5670"/>
        </w:tabs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BF268E" w:rsidRDefault="00BF268E" w:rsidP="00BF268E">
      <w:pPr>
        <w:tabs>
          <w:tab w:val="left" w:pos="1701"/>
          <w:tab w:val="left" w:pos="5670"/>
        </w:tabs>
        <w:spacing w:after="0"/>
        <w:rPr>
          <w:rFonts w:asciiTheme="minorHAnsi" w:hAnsiTheme="minorHAnsi"/>
          <w:bCs/>
          <w:sz w:val="26"/>
          <w:szCs w:val="26"/>
        </w:rPr>
      </w:pPr>
    </w:p>
    <w:p w:rsidR="00BF268E" w:rsidRPr="00067F0A" w:rsidRDefault="00BF268E" w:rsidP="00BF268E">
      <w:pPr>
        <w:tabs>
          <w:tab w:val="left" w:pos="709"/>
          <w:tab w:val="left" w:pos="1701"/>
          <w:tab w:val="left" w:pos="5670"/>
        </w:tabs>
        <w:spacing w:line="360" w:lineRule="atLeast"/>
        <w:jc w:val="center"/>
        <w:rPr>
          <w:rFonts w:asciiTheme="minorHAnsi" w:hAnsiTheme="minorHAnsi"/>
          <w:i/>
        </w:rPr>
      </w:pPr>
      <w:r w:rsidRPr="00067F0A">
        <w:rPr>
          <w:rFonts w:asciiTheme="minorHAnsi" w:hAnsiTheme="minorHAnsi"/>
          <w:i/>
        </w:rPr>
        <w:t xml:space="preserve">Motifs évoqués par les </w:t>
      </w:r>
      <w:r>
        <w:rPr>
          <w:rFonts w:asciiTheme="minorHAnsi" w:hAnsiTheme="minorHAnsi"/>
          <w:i/>
        </w:rPr>
        <w:t xml:space="preserve">entreprises de proximité </w:t>
      </w:r>
      <w:r>
        <w:rPr>
          <w:rFonts w:asciiTheme="minorHAnsi" w:hAnsiTheme="minorHAnsi"/>
          <w:i/>
        </w:rPr>
        <w:br/>
      </w:r>
      <w:r w:rsidRPr="00067F0A">
        <w:rPr>
          <w:rFonts w:asciiTheme="minorHAnsi" w:hAnsiTheme="minorHAnsi"/>
          <w:i/>
        </w:rPr>
        <w:t>rencontrant des difficultés pour recruter de la main-d’œuvre au premier semestre 201</w:t>
      </w:r>
      <w:r w:rsidR="000130EA">
        <w:rPr>
          <w:rFonts w:asciiTheme="minorHAnsi" w:hAnsiTheme="minorHAnsi"/>
          <w:i/>
        </w:rPr>
        <w:t>6</w:t>
      </w:r>
      <w:r w:rsidRPr="00067F0A">
        <w:rPr>
          <w:rFonts w:asciiTheme="minorHAnsi" w:hAnsiTheme="minorHAnsi"/>
          <w:i/>
        </w:rPr>
        <w:t xml:space="preserve"> </w:t>
      </w:r>
    </w:p>
    <w:p w:rsidR="00BF268E" w:rsidRPr="008131A5" w:rsidRDefault="00BF268E" w:rsidP="00BF268E">
      <w:pPr>
        <w:tabs>
          <w:tab w:val="left" w:pos="1701"/>
          <w:tab w:val="left" w:pos="5670"/>
        </w:tabs>
        <w:spacing w:after="0"/>
        <w:rPr>
          <w:rFonts w:asciiTheme="minorHAnsi" w:hAnsiTheme="minorHAnsi"/>
          <w:bCs/>
          <w:sz w:val="26"/>
          <w:szCs w:val="26"/>
        </w:rPr>
      </w:pPr>
    </w:p>
    <w:p w:rsidR="00BF268E" w:rsidRDefault="00BF268E" w:rsidP="00BF268E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</w:pPr>
    </w:p>
    <w:p w:rsidR="00BF268E" w:rsidRDefault="00BF268E" w:rsidP="00BF268E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</w:pPr>
    </w:p>
    <w:p w:rsidR="00BF268E" w:rsidRDefault="00BF268E" w:rsidP="00BF268E">
      <w:pPr>
        <w:spacing w:after="0" w:line="240" w:lineRule="auto"/>
        <w:rPr>
          <w:rFonts w:asciiTheme="minorHAnsi" w:hAnsiTheme="minorHAnsi" w:cstheme="minorHAnsi"/>
          <w:noProof/>
          <w:color w:val="000000"/>
          <w:lang w:eastAsia="fr-FR"/>
        </w:rPr>
      </w:pPr>
      <w:r w:rsidRPr="00C46B35">
        <w:rPr>
          <w:rFonts w:asciiTheme="minorHAnsi" w:hAnsiTheme="minorHAnsi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1FF12871" wp14:editId="01A92EBA">
            <wp:extent cx="5939790" cy="3094086"/>
            <wp:effectExtent l="0" t="0" r="3810" b="0"/>
            <wp:docPr id="12" name="Obje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268E" w:rsidRDefault="00BF268E" w:rsidP="00BF268E">
      <w:pPr>
        <w:spacing w:after="0" w:line="240" w:lineRule="auto"/>
        <w:rPr>
          <w:rFonts w:asciiTheme="minorHAnsi" w:hAnsiTheme="minorHAnsi" w:cstheme="minorHAnsi"/>
          <w:noProof/>
          <w:color w:val="000000"/>
          <w:lang w:eastAsia="fr-FR"/>
        </w:rPr>
      </w:pPr>
    </w:p>
    <w:p w:rsidR="00BF268E" w:rsidRPr="005122BD" w:rsidRDefault="000130EA" w:rsidP="00BF268E">
      <w:pPr>
        <w:pBdr>
          <w:bottom w:val="single" w:sz="4" w:space="1" w:color="244061" w:themeColor="accent1" w:themeShade="80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NATURE DES CONTRATS</w:t>
      </w:r>
    </w:p>
    <w:p w:rsidR="00BF268E" w:rsidRDefault="00BF268E" w:rsidP="00BF268E">
      <w:pPr>
        <w:tabs>
          <w:tab w:val="left" w:pos="1701"/>
          <w:tab w:val="left" w:pos="5670"/>
        </w:tabs>
        <w:rPr>
          <w:rFonts w:asciiTheme="minorHAnsi" w:hAnsiTheme="minorHAnsi"/>
          <w:bCs/>
        </w:rPr>
      </w:pPr>
    </w:p>
    <w:p w:rsidR="00BF268E" w:rsidRPr="00C46B35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color w:val="000000"/>
          <w:lang w:eastAsia="fr-FR"/>
        </w:rPr>
      </w:pPr>
    </w:p>
    <w:p w:rsidR="00BF268E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color w:val="000000"/>
          <w:lang w:eastAsia="fr-FR"/>
        </w:rPr>
      </w:pPr>
      <w:r w:rsidRPr="00C46B35">
        <w:rPr>
          <w:rFonts w:asciiTheme="minorHAnsi" w:hAnsiTheme="minorHAnsi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52724779" wp14:editId="052CC5C1">
            <wp:extent cx="5495925" cy="4171950"/>
            <wp:effectExtent l="57150" t="57150" r="47625" b="38100"/>
            <wp:docPr id="35" name="Obje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268E" w:rsidRDefault="00BF268E" w:rsidP="00BF268E">
      <w:pPr>
        <w:tabs>
          <w:tab w:val="left" w:pos="1701"/>
          <w:tab w:val="left" w:pos="5670"/>
        </w:tabs>
        <w:rPr>
          <w:rFonts w:asciiTheme="minorHAnsi" w:hAnsiTheme="minorHAnsi"/>
          <w:bCs/>
        </w:rPr>
      </w:pPr>
    </w:p>
    <w:p w:rsidR="000130EA" w:rsidRPr="005122BD" w:rsidRDefault="000130EA" w:rsidP="000130EA">
      <w:pPr>
        <w:pBdr>
          <w:bottom w:val="single" w:sz="4" w:space="1" w:color="244061" w:themeColor="accent1" w:themeShade="80"/>
        </w:pBdr>
        <w:spacing w:after="0" w:line="240" w:lineRule="auto"/>
        <w:jc w:val="center"/>
        <w:rPr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  <w:br w:type="page"/>
      </w:r>
      <w:r>
        <w:rPr>
          <w:sz w:val="32"/>
          <w:szCs w:val="32"/>
        </w:rPr>
        <w:t>PRIME A L’EMBAUCHE PME</w:t>
      </w:r>
    </w:p>
    <w:p w:rsidR="000130EA" w:rsidRDefault="000130EA" w:rsidP="000130EA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</w:pPr>
    </w:p>
    <w:p w:rsidR="00BF268E" w:rsidRDefault="000130EA" w:rsidP="00066D24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</w:pPr>
      <w:r>
        <w:rPr>
          <w:rFonts w:asciiTheme="minorHAnsi" w:hAnsiTheme="minorHAnsi"/>
          <w:b/>
          <w:sz w:val="26"/>
          <w:szCs w:val="26"/>
        </w:rPr>
        <w:t xml:space="preserve">Le dispositif de prime à l’embauche PME (prime trimestrielle de 500 € durant les </w:t>
      </w:r>
      <w:r>
        <w:rPr>
          <w:rFonts w:asciiTheme="minorHAnsi" w:hAnsiTheme="minorHAnsi"/>
          <w:b/>
          <w:sz w:val="26"/>
          <w:szCs w:val="26"/>
        </w:rPr>
        <w:br/>
        <w:t>2 premières années de contrat, soit 4.000 € au total pour l’embauche d’un salarié), vous encourage ou vous a-t-il encouragé à embaucher ?</w:t>
      </w:r>
    </w:p>
    <w:p w:rsidR="00066D24" w:rsidRDefault="00066D24" w:rsidP="00066D24">
      <w:pPr>
        <w:tabs>
          <w:tab w:val="left" w:pos="1701"/>
          <w:tab w:val="left" w:pos="5670"/>
        </w:tabs>
        <w:jc w:val="center"/>
        <w:rPr>
          <w:rFonts w:asciiTheme="minorHAnsi" w:hAnsiTheme="minorHAnsi" w:cstheme="minorHAnsi"/>
          <w:bCs/>
          <w:color w:val="000000"/>
          <w:sz w:val="26"/>
          <w:szCs w:val="26"/>
          <w:lang w:eastAsia="fr-FR"/>
        </w:rPr>
      </w:pPr>
    </w:p>
    <w:p w:rsidR="00BF268E" w:rsidRPr="00AF785D" w:rsidRDefault="00BF268E" w:rsidP="00066D24">
      <w:pPr>
        <w:tabs>
          <w:tab w:val="left" w:pos="1701"/>
          <w:tab w:val="left" w:pos="5670"/>
        </w:tabs>
        <w:jc w:val="center"/>
        <w:rPr>
          <w:rFonts w:asciiTheme="minorHAnsi" w:hAnsiTheme="minorHAnsi"/>
          <w:bCs/>
          <w:i/>
          <w:iCs/>
        </w:rPr>
      </w:pPr>
      <w:r w:rsidRPr="00AF785D">
        <w:rPr>
          <w:rFonts w:asciiTheme="minorHAnsi" w:hAnsiTheme="minorHAnsi" w:cstheme="minorHAnsi"/>
          <w:bCs/>
          <w:color w:val="000000"/>
          <w:sz w:val="26"/>
          <w:szCs w:val="26"/>
          <w:lang w:eastAsia="fr-FR"/>
        </w:rPr>
        <w:t xml:space="preserve">(Question réservée aux chefs d’entreprises </w:t>
      </w:r>
      <w:r w:rsidRPr="00AF785D">
        <w:rPr>
          <w:rFonts w:asciiTheme="minorHAnsi" w:hAnsiTheme="minorHAnsi"/>
          <w:sz w:val="26"/>
          <w:szCs w:val="26"/>
        </w:rPr>
        <w:t>n’employant aucun salarié)</w:t>
      </w:r>
    </w:p>
    <w:p w:rsidR="00BF268E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fr-FR"/>
        </w:rPr>
      </w:pPr>
    </w:p>
    <w:p w:rsidR="00BF268E" w:rsidRPr="00346592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eastAsia="fr-FR"/>
        </w:rPr>
      </w:pPr>
      <w:r w:rsidRPr="00346592">
        <w:rPr>
          <w:rFonts w:asciiTheme="minorHAnsi" w:hAnsiTheme="minorHAnsi" w:cstheme="minorHAnsi"/>
          <w:b/>
          <w:bCs/>
          <w:color w:val="000000"/>
          <w:sz w:val="32"/>
          <w:szCs w:val="32"/>
          <w:lang w:eastAsia="fr-FR"/>
        </w:rPr>
        <w:t xml:space="preserve">Non :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  <w:lang w:eastAsia="fr-FR"/>
        </w:rPr>
        <w:t>7</w:t>
      </w:r>
      <w:r w:rsidR="00066D24">
        <w:rPr>
          <w:rFonts w:asciiTheme="minorHAnsi" w:hAnsiTheme="minorHAnsi" w:cstheme="minorHAnsi"/>
          <w:b/>
          <w:bCs/>
          <w:color w:val="FF0000"/>
          <w:sz w:val="32"/>
          <w:szCs w:val="32"/>
          <w:lang w:eastAsia="fr-FR"/>
        </w:rPr>
        <w:t>1</w:t>
      </w:r>
      <w:r w:rsidRPr="00346592">
        <w:rPr>
          <w:rFonts w:asciiTheme="minorHAnsi" w:hAnsiTheme="minorHAnsi" w:cstheme="minorHAnsi"/>
          <w:b/>
          <w:bCs/>
          <w:color w:val="FF0000"/>
          <w:sz w:val="32"/>
          <w:szCs w:val="32"/>
          <w:lang w:eastAsia="fr-FR"/>
        </w:rPr>
        <w:t>%</w:t>
      </w:r>
    </w:p>
    <w:p w:rsidR="00BF268E" w:rsidRPr="00C46B35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color w:val="000000"/>
          <w:lang w:eastAsia="fr-FR"/>
        </w:rPr>
      </w:pPr>
    </w:p>
    <w:p w:rsidR="00BF268E" w:rsidRPr="00C46B35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color w:val="000000"/>
          <w:lang w:eastAsia="fr-FR"/>
        </w:rPr>
      </w:pPr>
      <w:r w:rsidRPr="00C46B35">
        <w:rPr>
          <w:rFonts w:asciiTheme="minorHAnsi" w:hAnsiTheme="minorHAnsi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21AB1F0F" wp14:editId="3CD340CA">
            <wp:extent cx="5533902" cy="2992582"/>
            <wp:effectExtent l="57150" t="57150" r="48260" b="55880"/>
            <wp:docPr id="6" name="Obje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F268E" w:rsidRPr="00C46B35" w:rsidRDefault="00BF268E" w:rsidP="00BF26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color w:val="000000"/>
          <w:lang w:eastAsia="fr-FR"/>
        </w:rPr>
      </w:pPr>
    </w:p>
    <w:p w:rsidR="00A54616" w:rsidRDefault="00A54616" w:rsidP="00FB2B8A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u w:val="single"/>
          <w:lang w:eastAsia="fr-FR"/>
        </w:rPr>
      </w:pPr>
    </w:p>
    <w:sectPr w:rsidR="00A54616" w:rsidSect="00FC6260">
      <w:pgSz w:w="11906" w:h="16838" w:code="9"/>
      <w:pgMar w:top="567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10" w:rsidRDefault="00582510" w:rsidP="00582510">
      <w:pPr>
        <w:spacing w:after="0" w:line="240" w:lineRule="auto"/>
      </w:pPr>
      <w:r>
        <w:separator/>
      </w:r>
    </w:p>
  </w:endnote>
  <w:endnote w:type="continuationSeparator" w:id="0">
    <w:p w:rsidR="00582510" w:rsidRDefault="00582510" w:rsidP="005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10" w:rsidRDefault="00582510" w:rsidP="00582510">
      <w:pPr>
        <w:spacing w:after="0" w:line="240" w:lineRule="auto"/>
      </w:pPr>
      <w:r>
        <w:separator/>
      </w:r>
    </w:p>
  </w:footnote>
  <w:footnote w:type="continuationSeparator" w:id="0">
    <w:p w:rsidR="00582510" w:rsidRDefault="00582510" w:rsidP="0058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5AE2"/>
    <w:multiLevelType w:val="hybridMultilevel"/>
    <w:tmpl w:val="B0624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A5C8C"/>
    <w:multiLevelType w:val="hybridMultilevel"/>
    <w:tmpl w:val="3AF88E4C"/>
    <w:lvl w:ilvl="0" w:tplc="B18A9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D4"/>
    <w:rsid w:val="000015C4"/>
    <w:rsid w:val="00004AEC"/>
    <w:rsid w:val="000130EA"/>
    <w:rsid w:val="00021134"/>
    <w:rsid w:val="00036B19"/>
    <w:rsid w:val="0004069E"/>
    <w:rsid w:val="0004607E"/>
    <w:rsid w:val="00046A58"/>
    <w:rsid w:val="00052689"/>
    <w:rsid w:val="00053D75"/>
    <w:rsid w:val="00060B22"/>
    <w:rsid w:val="00060DC6"/>
    <w:rsid w:val="00063E77"/>
    <w:rsid w:val="0006460C"/>
    <w:rsid w:val="00066D24"/>
    <w:rsid w:val="00070554"/>
    <w:rsid w:val="00073AED"/>
    <w:rsid w:val="00073BF1"/>
    <w:rsid w:val="00080CF0"/>
    <w:rsid w:val="00081589"/>
    <w:rsid w:val="00087F22"/>
    <w:rsid w:val="00094118"/>
    <w:rsid w:val="00095848"/>
    <w:rsid w:val="00097E4C"/>
    <w:rsid w:val="000A1D6B"/>
    <w:rsid w:val="000A2519"/>
    <w:rsid w:val="000A5DF2"/>
    <w:rsid w:val="000B0FA6"/>
    <w:rsid w:val="000B32FB"/>
    <w:rsid w:val="000C60D4"/>
    <w:rsid w:val="000D01B1"/>
    <w:rsid w:val="000D06D2"/>
    <w:rsid w:val="000D2775"/>
    <w:rsid w:val="000D321A"/>
    <w:rsid w:val="000E3517"/>
    <w:rsid w:val="000E3AE6"/>
    <w:rsid w:val="000E4765"/>
    <w:rsid w:val="000F269D"/>
    <w:rsid w:val="000F4A09"/>
    <w:rsid w:val="000F5F8E"/>
    <w:rsid w:val="000F648B"/>
    <w:rsid w:val="00100CED"/>
    <w:rsid w:val="00104DA7"/>
    <w:rsid w:val="00122BFD"/>
    <w:rsid w:val="00126C21"/>
    <w:rsid w:val="00132617"/>
    <w:rsid w:val="00133FE9"/>
    <w:rsid w:val="00134A13"/>
    <w:rsid w:val="00147315"/>
    <w:rsid w:val="001625DB"/>
    <w:rsid w:val="00164936"/>
    <w:rsid w:val="00166B37"/>
    <w:rsid w:val="001705C4"/>
    <w:rsid w:val="00171A67"/>
    <w:rsid w:val="001752D6"/>
    <w:rsid w:val="00181F38"/>
    <w:rsid w:val="001826B0"/>
    <w:rsid w:val="00183AD1"/>
    <w:rsid w:val="0018410B"/>
    <w:rsid w:val="001863BC"/>
    <w:rsid w:val="00187F37"/>
    <w:rsid w:val="001A3AC5"/>
    <w:rsid w:val="001C0A62"/>
    <w:rsid w:val="001C21D6"/>
    <w:rsid w:val="001C3881"/>
    <w:rsid w:val="001C764C"/>
    <w:rsid w:val="001D02B9"/>
    <w:rsid w:val="001D7DC5"/>
    <w:rsid w:val="001E1F6C"/>
    <w:rsid w:val="001E741F"/>
    <w:rsid w:val="001E7B3A"/>
    <w:rsid w:val="001F0F30"/>
    <w:rsid w:val="001F1292"/>
    <w:rsid w:val="001F37A4"/>
    <w:rsid w:val="001F583F"/>
    <w:rsid w:val="00200071"/>
    <w:rsid w:val="00203B26"/>
    <w:rsid w:val="00212623"/>
    <w:rsid w:val="002128E2"/>
    <w:rsid w:val="00214027"/>
    <w:rsid w:val="0021405F"/>
    <w:rsid w:val="00224FC3"/>
    <w:rsid w:val="00234063"/>
    <w:rsid w:val="00236E30"/>
    <w:rsid w:val="002374C2"/>
    <w:rsid w:val="00237844"/>
    <w:rsid w:val="00243474"/>
    <w:rsid w:val="00244C28"/>
    <w:rsid w:val="00253767"/>
    <w:rsid w:val="00254C50"/>
    <w:rsid w:val="00256A84"/>
    <w:rsid w:val="00262696"/>
    <w:rsid w:val="00267ED4"/>
    <w:rsid w:val="002767B2"/>
    <w:rsid w:val="00291AB4"/>
    <w:rsid w:val="00292D7F"/>
    <w:rsid w:val="002A1AE6"/>
    <w:rsid w:val="002B2D88"/>
    <w:rsid w:val="002B5A0C"/>
    <w:rsid w:val="002D3838"/>
    <w:rsid w:val="002D6A85"/>
    <w:rsid w:val="002E2C9B"/>
    <w:rsid w:val="002E682B"/>
    <w:rsid w:val="002E7553"/>
    <w:rsid w:val="002F0978"/>
    <w:rsid w:val="002F6F72"/>
    <w:rsid w:val="00305279"/>
    <w:rsid w:val="00323AD1"/>
    <w:rsid w:val="00324B67"/>
    <w:rsid w:val="0033039E"/>
    <w:rsid w:val="00331B7B"/>
    <w:rsid w:val="00332B2A"/>
    <w:rsid w:val="003340D3"/>
    <w:rsid w:val="00337D48"/>
    <w:rsid w:val="00346388"/>
    <w:rsid w:val="0035585C"/>
    <w:rsid w:val="00364CDE"/>
    <w:rsid w:val="00370223"/>
    <w:rsid w:val="003708CF"/>
    <w:rsid w:val="003711FA"/>
    <w:rsid w:val="003775DC"/>
    <w:rsid w:val="00377D5A"/>
    <w:rsid w:val="003907FF"/>
    <w:rsid w:val="003A1082"/>
    <w:rsid w:val="003A4C5D"/>
    <w:rsid w:val="003B3D9E"/>
    <w:rsid w:val="003C30BB"/>
    <w:rsid w:val="003D0455"/>
    <w:rsid w:val="003F0778"/>
    <w:rsid w:val="003F0EE6"/>
    <w:rsid w:val="003F245A"/>
    <w:rsid w:val="004003FD"/>
    <w:rsid w:val="004023FB"/>
    <w:rsid w:val="00407815"/>
    <w:rsid w:val="0041290E"/>
    <w:rsid w:val="00417B9F"/>
    <w:rsid w:val="0042509B"/>
    <w:rsid w:val="0044072D"/>
    <w:rsid w:val="0044507F"/>
    <w:rsid w:val="00453969"/>
    <w:rsid w:val="004574F2"/>
    <w:rsid w:val="00462B15"/>
    <w:rsid w:val="00465BB4"/>
    <w:rsid w:val="004731CF"/>
    <w:rsid w:val="00477314"/>
    <w:rsid w:val="0047782A"/>
    <w:rsid w:val="00492488"/>
    <w:rsid w:val="00495BD9"/>
    <w:rsid w:val="004A0C80"/>
    <w:rsid w:val="004A21D5"/>
    <w:rsid w:val="004A23BC"/>
    <w:rsid w:val="004A4320"/>
    <w:rsid w:val="004C186F"/>
    <w:rsid w:val="004C27E1"/>
    <w:rsid w:val="004C7E99"/>
    <w:rsid w:val="004D5603"/>
    <w:rsid w:val="004D75C8"/>
    <w:rsid w:val="004E2080"/>
    <w:rsid w:val="004E3215"/>
    <w:rsid w:val="004E6DAB"/>
    <w:rsid w:val="004E7AEA"/>
    <w:rsid w:val="004F1694"/>
    <w:rsid w:val="004F2A98"/>
    <w:rsid w:val="00503122"/>
    <w:rsid w:val="0050791A"/>
    <w:rsid w:val="00510361"/>
    <w:rsid w:val="00514216"/>
    <w:rsid w:val="00517A53"/>
    <w:rsid w:val="00521046"/>
    <w:rsid w:val="00524175"/>
    <w:rsid w:val="00524337"/>
    <w:rsid w:val="005313B5"/>
    <w:rsid w:val="00532E04"/>
    <w:rsid w:val="00532E2E"/>
    <w:rsid w:val="0053579B"/>
    <w:rsid w:val="0054566E"/>
    <w:rsid w:val="005509BE"/>
    <w:rsid w:val="0055538C"/>
    <w:rsid w:val="00562B9F"/>
    <w:rsid w:val="00582510"/>
    <w:rsid w:val="00585D9C"/>
    <w:rsid w:val="0059320B"/>
    <w:rsid w:val="00596C6C"/>
    <w:rsid w:val="005A09E4"/>
    <w:rsid w:val="005A38A5"/>
    <w:rsid w:val="005B7036"/>
    <w:rsid w:val="005C31CF"/>
    <w:rsid w:val="005C7DB2"/>
    <w:rsid w:val="005D27AF"/>
    <w:rsid w:val="005D3627"/>
    <w:rsid w:val="005D756B"/>
    <w:rsid w:val="005F6F9F"/>
    <w:rsid w:val="00604ADF"/>
    <w:rsid w:val="00606D45"/>
    <w:rsid w:val="00612275"/>
    <w:rsid w:val="00613B40"/>
    <w:rsid w:val="00616E6B"/>
    <w:rsid w:val="0062655D"/>
    <w:rsid w:val="006326BD"/>
    <w:rsid w:val="00645AA7"/>
    <w:rsid w:val="00650073"/>
    <w:rsid w:val="0065464B"/>
    <w:rsid w:val="00665235"/>
    <w:rsid w:val="006652BC"/>
    <w:rsid w:val="00667934"/>
    <w:rsid w:val="00680A2B"/>
    <w:rsid w:val="00692F59"/>
    <w:rsid w:val="0069382D"/>
    <w:rsid w:val="00694EFC"/>
    <w:rsid w:val="006A0B8C"/>
    <w:rsid w:val="006A0C30"/>
    <w:rsid w:val="006A44BF"/>
    <w:rsid w:val="006B0D2C"/>
    <w:rsid w:val="006B57A5"/>
    <w:rsid w:val="006C5DEC"/>
    <w:rsid w:val="006D1598"/>
    <w:rsid w:val="006D6ED1"/>
    <w:rsid w:val="006D7E9C"/>
    <w:rsid w:val="006E1AB9"/>
    <w:rsid w:val="006E7636"/>
    <w:rsid w:val="007016E6"/>
    <w:rsid w:val="00701A43"/>
    <w:rsid w:val="00724F65"/>
    <w:rsid w:val="0073409A"/>
    <w:rsid w:val="007347DD"/>
    <w:rsid w:val="007353EC"/>
    <w:rsid w:val="00743A99"/>
    <w:rsid w:val="0075377C"/>
    <w:rsid w:val="007571A3"/>
    <w:rsid w:val="00760C7F"/>
    <w:rsid w:val="00762F58"/>
    <w:rsid w:val="007727E8"/>
    <w:rsid w:val="007739B1"/>
    <w:rsid w:val="00790C9A"/>
    <w:rsid w:val="007A6FA4"/>
    <w:rsid w:val="007A7294"/>
    <w:rsid w:val="007B4697"/>
    <w:rsid w:val="007B5FF9"/>
    <w:rsid w:val="007C05FB"/>
    <w:rsid w:val="007D15C6"/>
    <w:rsid w:val="007D20A5"/>
    <w:rsid w:val="007D4F3A"/>
    <w:rsid w:val="007D687C"/>
    <w:rsid w:val="007D739B"/>
    <w:rsid w:val="007D7708"/>
    <w:rsid w:val="007F09C3"/>
    <w:rsid w:val="007F7A37"/>
    <w:rsid w:val="008151D5"/>
    <w:rsid w:val="008169FA"/>
    <w:rsid w:val="008232CD"/>
    <w:rsid w:val="00823FAA"/>
    <w:rsid w:val="00824FE1"/>
    <w:rsid w:val="00850C80"/>
    <w:rsid w:val="008669E9"/>
    <w:rsid w:val="00871848"/>
    <w:rsid w:val="00871F07"/>
    <w:rsid w:val="00872A26"/>
    <w:rsid w:val="00872B5D"/>
    <w:rsid w:val="00873805"/>
    <w:rsid w:val="00876325"/>
    <w:rsid w:val="008913E1"/>
    <w:rsid w:val="008B3862"/>
    <w:rsid w:val="008B575E"/>
    <w:rsid w:val="008C23BC"/>
    <w:rsid w:val="008D6366"/>
    <w:rsid w:val="008E795D"/>
    <w:rsid w:val="008F13A7"/>
    <w:rsid w:val="00906913"/>
    <w:rsid w:val="009312EA"/>
    <w:rsid w:val="00933A06"/>
    <w:rsid w:val="00934C37"/>
    <w:rsid w:val="0094387F"/>
    <w:rsid w:val="00945C2D"/>
    <w:rsid w:val="00945E22"/>
    <w:rsid w:val="009535A1"/>
    <w:rsid w:val="009539D2"/>
    <w:rsid w:val="00953BE1"/>
    <w:rsid w:val="009608C0"/>
    <w:rsid w:val="00962F54"/>
    <w:rsid w:val="00974D86"/>
    <w:rsid w:val="00982896"/>
    <w:rsid w:val="00990CBA"/>
    <w:rsid w:val="00997E29"/>
    <w:rsid w:val="009B0B7E"/>
    <w:rsid w:val="009B1235"/>
    <w:rsid w:val="009B1C25"/>
    <w:rsid w:val="009B31DB"/>
    <w:rsid w:val="009B4712"/>
    <w:rsid w:val="009C56F1"/>
    <w:rsid w:val="009C61E1"/>
    <w:rsid w:val="009C6659"/>
    <w:rsid w:val="009D27C5"/>
    <w:rsid w:val="009E3044"/>
    <w:rsid w:val="009E3611"/>
    <w:rsid w:val="009E6C50"/>
    <w:rsid w:val="009E6F06"/>
    <w:rsid w:val="009F6594"/>
    <w:rsid w:val="00A02F1B"/>
    <w:rsid w:val="00A131B8"/>
    <w:rsid w:val="00A21F1D"/>
    <w:rsid w:val="00A37673"/>
    <w:rsid w:val="00A413B3"/>
    <w:rsid w:val="00A47E08"/>
    <w:rsid w:val="00A54616"/>
    <w:rsid w:val="00A555B0"/>
    <w:rsid w:val="00A566FA"/>
    <w:rsid w:val="00A571B8"/>
    <w:rsid w:val="00A65256"/>
    <w:rsid w:val="00A7133F"/>
    <w:rsid w:val="00A71A24"/>
    <w:rsid w:val="00A7645B"/>
    <w:rsid w:val="00A8385D"/>
    <w:rsid w:val="00A8673A"/>
    <w:rsid w:val="00A868ED"/>
    <w:rsid w:val="00A87D85"/>
    <w:rsid w:val="00A908FC"/>
    <w:rsid w:val="00A909C1"/>
    <w:rsid w:val="00A972D0"/>
    <w:rsid w:val="00AA05C5"/>
    <w:rsid w:val="00AA7451"/>
    <w:rsid w:val="00AB0CA6"/>
    <w:rsid w:val="00AB734A"/>
    <w:rsid w:val="00AC2B6C"/>
    <w:rsid w:val="00AD39FE"/>
    <w:rsid w:val="00AD673A"/>
    <w:rsid w:val="00AD74E2"/>
    <w:rsid w:val="00AE2065"/>
    <w:rsid w:val="00AE5CC2"/>
    <w:rsid w:val="00B02783"/>
    <w:rsid w:val="00B10574"/>
    <w:rsid w:val="00B15527"/>
    <w:rsid w:val="00B17C89"/>
    <w:rsid w:val="00B26823"/>
    <w:rsid w:val="00B318D6"/>
    <w:rsid w:val="00B352BF"/>
    <w:rsid w:val="00B36D28"/>
    <w:rsid w:val="00B43B12"/>
    <w:rsid w:val="00B50283"/>
    <w:rsid w:val="00B622EE"/>
    <w:rsid w:val="00B7251E"/>
    <w:rsid w:val="00B738E2"/>
    <w:rsid w:val="00B75D0E"/>
    <w:rsid w:val="00B77B36"/>
    <w:rsid w:val="00B83630"/>
    <w:rsid w:val="00B853BE"/>
    <w:rsid w:val="00B85E4E"/>
    <w:rsid w:val="00BB01EE"/>
    <w:rsid w:val="00BB1578"/>
    <w:rsid w:val="00BC2516"/>
    <w:rsid w:val="00BC2C8F"/>
    <w:rsid w:val="00BE0C22"/>
    <w:rsid w:val="00BE375A"/>
    <w:rsid w:val="00BF2446"/>
    <w:rsid w:val="00BF268E"/>
    <w:rsid w:val="00BF4463"/>
    <w:rsid w:val="00BF5096"/>
    <w:rsid w:val="00C02E06"/>
    <w:rsid w:val="00C05ECB"/>
    <w:rsid w:val="00C12AA5"/>
    <w:rsid w:val="00C1437D"/>
    <w:rsid w:val="00C16F14"/>
    <w:rsid w:val="00C24923"/>
    <w:rsid w:val="00C3244C"/>
    <w:rsid w:val="00C35ED4"/>
    <w:rsid w:val="00C42736"/>
    <w:rsid w:val="00C47DAE"/>
    <w:rsid w:val="00C54DBA"/>
    <w:rsid w:val="00C560BB"/>
    <w:rsid w:val="00C61743"/>
    <w:rsid w:val="00C756C2"/>
    <w:rsid w:val="00C81968"/>
    <w:rsid w:val="00C828AF"/>
    <w:rsid w:val="00C84A82"/>
    <w:rsid w:val="00C8675E"/>
    <w:rsid w:val="00C94D8C"/>
    <w:rsid w:val="00C955AC"/>
    <w:rsid w:val="00C9658B"/>
    <w:rsid w:val="00C966AA"/>
    <w:rsid w:val="00C97247"/>
    <w:rsid w:val="00CA3095"/>
    <w:rsid w:val="00CB08FA"/>
    <w:rsid w:val="00CC1607"/>
    <w:rsid w:val="00CC46AB"/>
    <w:rsid w:val="00CE0D14"/>
    <w:rsid w:val="00CE19BE"/>
    <w:rsid w:val="00CE55CE"/>
    <w:rsid w:val="00CE6C7A"/>
    <w:rsid w:val="00CF666C"/>
    <w:rsid w:val="00CF6B5B"/>
    <w:rsid w:val="00D13884"/>
    <w:rsid w:val="00D15555"/>
    <w:rsid w:val="00D23891"/>
    <w:rsid w:val="00D27837"/>
    <w:rsid w:val="00D32522"/>
    <w:rsid w:val="00D33999"/>
    <w:rsid w:val="00D5121F"/>
    <w:rsid w:val="00D637EA"/>
    <w:rsid w:val="00D70D22"/>
    <w:rsid w:val="00D770F4"/>
    <w:rsid w:val="00D834EA"/>
    <w:rsid w:val="00D83560"/>
    <w:rsid w:val="00D8556E"/>
    <w:rsid w:val="00D867FD"/>
    <w:rsid w:val="00D91770"/>
    <w:rsid w:val="00D926FE"/>
    <w:rsid w:val="00D94393"/>
    <w:rsid w:val="00D95C52"/>
    <w:rsid w:val="00D960FB"/>
    <w:rsid w:val="00DA01BD"/>
    <w:rsid w:val="00DA109E"/>
    <w:rsid w:val="00DA14BD"/>
    <w:rsid w:val="00DA68F6"/>
    <w:rsid w:val="00DB4C58"/>
    <w:rsid w:val="00DB5520"/>
    <w:rsid w:val="00DC2C14"/>
    <w:rsid w:val="00DC3D21"/>
    <w:rsid w:val="00DC4937"/>
    <w:rsid w:val="00DD2C0E"/>
    <w:rsid w:val="00DD7070"/>
    <w:rsid w:val="00DE235C"/>
    <w:rsid w:val="00DE43EB"/>
    <w:rsid w:val="00DE7693"/>
    <w:rsid w:val="00DF7B14"/>
    <w:rsid w:val="00E01704"/>
    <w:rsid w:val="00E06887"/>
    <w:rsid w:val="00E1012F"/>
    <w:rsid w:val="00E12225"/>
    <w:rsid w:val="00E17CD2"/>
    <w:rsid w:val="00E36F02"/>
    <w:rsid w:val="00E439BA"/>
    <w:rsid w:val="00E458CC"/>
    <w:rsid w:val="00E47370"/>
    <w:rsid w:val="00E55C7E"/>
    <w:rsid w:val="00E64A0F"/>
    <w:rsid w:val="00E7307A"/>
    <w:rsid w:val="00E83409"/>
    <w:rsid w:val="00E83825"/>
    <w:rsid w:val="00E922CD"/>
    <w:rsid w:val="00E93784"/>
    <w:rsid w:val="00E944A5"/>
    <w:rsid w:val="00E94C51"/>
    <w:rsid w:val="00E965A2"/>
    <w:rsid w:val="00E972AF"/>
    <w:rsid w:val="00EA5308"/>
    <w:rsid w:val="00EB3B7F"/>
    <w:rsid w:val="00EC3CCF"/>
    <w:rsid w:val="00EC6E24"/>
    <w:rsid w:val="00ED2831"/>
    <w:rsid w:val="00ED685E"/>
    <w:rsid w:val="00EE34C8"/>
    <w:rsid w:val="00F002D2"/>
    <w:rsid w:val="00F0287C"/>
    <w:rsid w:val="00F04281"/>
    <w:rsid w:val="00F07C3F"/>
    <w:rsid w:val="00F128BA"/>
    <w:rsid w:val="00F16C63"/>
    <w:rsid w:val="00F16D7F"/>
    <w:rsid w:val="00F16F97"/>
    <w:rsid w:val="00F222C9"/>
    <w:rsid w:val="00F318D2"/>
    <w:rsid w:val="00F3419C"/>
    <w:rsid w:val="00F3642B"/>
    <w:rsid w:val="00F41A5B"/>
    <w:rsid w:val="00F41CD8"/>
    <w:rsid w:val="00F42361"/>
    <w:rsid w:val="00F461CB"/>
    <w:rsid w:val="00F54D35"/>
    <w:rsid w:val="00F56606"/>
    <w:rsid w:val="00F56B3D"/>
    <w:rsid w:val="00F75462"/>
    <w:rsid w:val="00F8184E"/>
    <w:rsid w:val="00F843C1"/>
    <w:rsid w:val="00F84F0C"/>
    <w:rsid w:val="00F87D2C"/>
    <w:rsid w:val="00F92BE6"/>
    <w:rsid w:val="00F979B9"/>
    <w:rsid w:val="00FA378C"/>
    <w:rsid w:val="00FA503E"/>
    <w:rsid w:val="00FA7B68"/>
    <w:rsid w:val="00FB2B8A"/>
    <w:rsid w:val="00FB4D5F"/>
    <w:rsid w:val="00FB7E00"/>
    <w:rsid w:val="00FC2C8D"/>
    <w:rsid w:val="00FC3DB8"/>
    <w:rsid w:val="00FC6260"/>
    <w:rsid w:val="00FD37C2"/>
    <w:rsid w:val="00FE0877"/>
    <w:rsid w:val="00FE358B"/>
    <w:rsid w:val="00FE5A9F"/>
    <w:rsid w:val="00FE666E"/>
    <w:rsid w:val="00FE7A3B"/>
    <w:rsid w:val="00FF0681"/>
    <w:rsid w:val="00FF1831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35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rsid w:val="00C35E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C35E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35ED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ar"/>
    <w:rsid w:val="00D835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rsid w:val="00D83560"/>
    <w:rPr>
      <w:rFonts w:ascii="Arial" w:eastAsia="Times New Roman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4A13"/>
    <w:pPr>
      <w:spacing w:after="0" w:line="240" w:lineRule="auto"/>
      <w:ind w:left="720"/>
    </w:pPr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A57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6A0C30"/>
  </w:style>
  <w:style w:type="character" w:styleId="Lienhypertextesuivivisit">
    <w:name w:val="FollowedHyperlink"/>
    <w:basedOn w:val="Policepardfaut"/>
    <w:uiPriority w:val="99"/>
    <w:semiHidden/>
    <w:unhideWhenUsed/>
    <w:rsid w:val="007D15C6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74D86"/>
    <w:rPr>
      <w:i/>
      <w:iCs/>
    </w:rPr>
  </w:style>
  <w:style w:type="paragraph" w:customStyle="1" w:styleId="TITRE">
    <w:name w:val="TITRE"/>
    <w:basedOn w:val="Normal"/>
    <w:link w:val="TITRECar"/>
    <w:qFormat/>
    <w:rsid w:val="00BF268E"/>
    <w:pPr>
      <w:pBdr>
        <w:bottom w:val="single" w:sz="4" w:space="1" w:color="244061" w:themeColor="accent1" w:themeShade="80"/>
      </w:pBdr>
      <w:spacing w:line="240" w:lineRule="auto"/>
      <w:jc w:val="center"/>
    </w:pPr>
    <w:rPr>
      <w:smallCap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F268E"/>
    <w:rPr>
      <w:smallCaps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8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5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35E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rsid w:val="00C35E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C35E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35ED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ar"/>
    <w:rsid w:val="00D835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rsid w:val="00D83560"/>
    <w:rPr>
      <w:rFonts w:ascii="Arial" w:eastAsia="Times New Roman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4A13"/>
    <w:pPr>
      <w:spacing w:after="0" w:line="240" w:lineRule="auto"/>
      <w:ind w:left="720"/>
    </w:pPr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A57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6A0C30"/>
  </w:style>
  <w:style w:type="character" w:styleId="Lienhypertextesuivivisit">
    <w:name w:val="FollowedHyperlink"/>
    <w:basedOn w:val="Policepardfaut"/>
    <w:uiPriority w:val="99"/>
    <w:semiHidden/>
    <w:unhideWhenUsed/>
    <w:rsid w:val="007D15C6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74D86"/>
    <w:rPr>
      <w:i/>
      <w:iCs/>
    </w:rPr>
  </w:style>
  <w:style w:type="paragraph" w:customStyle="1" w:styleId="TITRE">
    <w:name w:val="TITRE"/>
    <w:basedOn w:val="Normal"/>
    <w:link w:val="TITRECar"/>
    <w:qFormat/>
    <w:rsid w:val="00BF268E"/>
    <w:pPr>
      <w:pBdr>
        <w:bottom w:val="single" w:sz="4" w:space="1" w:color="244061" w:themeColor="accent1" w:themeShade="80"/>
      </w:pBdr>
      <w:spacing w:line="240" w:lineRule="auto"/>
      <w:jc w:val="center"/>
    </w:pPr>
    <w:rPr>
      <w:smallCap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F268E"/>
    <w:rPr>
      <w:smallCaps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8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5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jcdelerue@upa.fr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654665378723577E-2"/>
          <c:y val="4.3051140346587115E-2"/>
          <c:w val="0.86050735284883662"/>
          <c:h val="0.7695717012646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Lbls>
            <c:txPr>
              <a:bodyPr/>
              <a:lstStyle/>
              <a:p>
                <a:pPr>
                  <a:defRPr sz="12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Feuil1!$A$2:$A$9</c:f>
              <c:strCache>
                <c:ptCount val="8"/>
                <c:pt idx="0">
                  <c:v>3T14</c:v>
                </c:pt>
                <c:pt idx="1">
                  <c:v>4T14</c:v>
                </c:pt>
                <c:pt idx="2">
                  <c:v>1T15</c:v>
                </c:pt>
                <c:pt idx="3">
                  <c:v>2T15</c:v>
                </c:pt>
                <c:pt idx="4">
                  <c:v>3T15</c:v>
                </c:pt>
                <c:pt idx="5">
                  <c:v>4T15</c:v>
                </c:pt>
                <c:pt idx="6">
                  <c:v>1T16</c:v>
                </c:pt>
                <c:pt idx="7">
                  <c:v>2T16</c:v>
                </c:pt>
              </c:strCache>
            </c:strRef>
          </c:cat>
          <c:val>
            <c:numRef>
              <c:f>Feuil1!$B$2:$B$9</c:f>
              <c:numCache>
                <c:formatCode>0.0%</c:formatCode>
                <c:ptCount val="8"/>
                <c:pt idx="0">
                  <c:v>-2.5000000000000001E-2</c:v>
                </c:pt>
                <c:pt idx="1">
                  <c:v>-2.5000000000000001E-2</c:v>
                </c:pt>
                <c:pt idx="2">
                  <c:v>-2.5000000000000001E-2</c:v>
                </c:pt>
                <c:pt idx="3" formatCode="0%">
                  <c:v>-0.02</c:v>
                </c:pt>
                <c:pt idx="4">
                  <c:v>-1.4999999999999999E-2</c:v>
                </c:pt>
                <c:pt idx="5" formatCode="0%">
                  <c:v>-0.02</c:v>
                </c:pt>
                <c:pt idx="6">
                  <c:v>-1.4999999999999999E-2</c:v>
                </c:pt>
                <c:pt idx="7" formatCode="0%">
                  <c:v>-0.01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190656"/>
        <c:axId val="101298944"/>
      </c:barChart>
      <c:catAx>
        <c:axId val="10119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200"/>
            </a:pPr>
            <a:endParaRPr lang="fr-FR"/>
          </a:p>
        </c:txPr>
        <c:crossAx val="101298944"/>
        <c:crosses val="autoZero"/>
        <c:auto val="1"/>
        <c:lblAlgn val="ctr"/>
        <c:lblOffset val="100"/>
        <c:noMultiLvlLbl val="0"/>
      </c:catAx>
      <c:valAx>
        <c:axId val="101298944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01190656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119929660533724"/>
          <c:y val="0"/>
          <c:w val="0.51505442414143954"/>
          <c:h val="0.95250090237022578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8989"/>
              </a:solidFill>
            </c:spPr>
          </c:dPt>
          <c:dPt>
            <c:idx val="3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1.486260000632451E-3"/>
                  <c:y val="-7.435578514469130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tx1"/>
                      </a:solidFill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4.6678321836276487E-2"/>
                  <c:y val="-6.2788170586956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2.6234792940039123E-2"/>
                  <c:y val="-6.3882173963923303E-2"/>
                </c:manualLayout>
              </c:layout>
              <c:spPr/>
              <c:txPr>
                <a:bodyPr/>
                <a:lstStyle/>
                <a:p>
                  <a:pPr>
                    <a:defRPr sz="2000" b="1">
                      <a:solidFill>
                        <a:schemeClr val="tx1"/>
                      </a:solidFill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4062500564701"/>
                  <c:y val="0.18321156692019713"/>
                </c:manualLayout>
              </c:layout>
              <c:spPr/>
              <c:txPr>
                <a:bodyPr/>
                <a:lstStyle/>
                <a:p>
                  <a:pPr>
                    <a:defRPr sz="2800" b="1"/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400" b="1"/>
                </a:pPr>
                <a:endParaRPr lang="fr-FR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Feuil1!$A$2:$A$5</c:f>
              <c:strCache>
                <c:ptCount val="4"/>
                <c:pt idx="0">
                  <c:v>Oui</c:v>
                </c:pt>
                <c:pt idx="1">
                  <c:v>Plutôt oui</c:v>
                </c:pt>
                <c:pt idx="2">
                  <c:v>Plutôt non </c:v>
                </c:pt>
                <c:pt idx="3">
                  <c:v>Non</c:v>
                </c:pt>
              </c:strCache>
            </c:strRef>
          </c:cat>
          <c:val>
            <c:numRef>
              <c:f>Feuil1!$B$2:$B$5</c:f>
              <c:numCache>
                <c:formatCode>0%</c:formatCode>
                <c:ptCount val="4"/>
                <c:pt idx="0">
                  <c:v>0.03</c:v>
                </c:pt>
                <c:pt idx="1">
                  <c:v>0.06</c:v>
                </c:pt>
                <c:pt idx="2">
                  <c:v>0.2</c:v>
                </c:pt>
                <c:pt idx="3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7"/>
      </c:pieChart>
      <c:spPr>
        <a:noFill/>
        <a:ln w="21594">
          <a:noFill/>
        </a:ln>
      </c:spPr>
    </c:plotArea>
    <c:plotVisOnly val="1"/>
    <c:dispBlanksAs val="zero"/>
    <c:showDLblsOverMax val="0"/>
  </c:chart>
  <c:spPr>
    <a:ln>
      <a:noFill/>
    </a:ln>
    <a:scene3d>
      <a:camera prst="orthographicFront"/>
      <a:lightRig rig="threePt" dir="t"/>
    </a:scene3d>
    <a:sp3d prstMaterial="matte"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27220774582148"/>
          <c:y val="9.4144339340132818E-2"/>
          <c:w val="0.85320574244458758"/>
          <c:h val="0.66034455424615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Feuil1!$A$2:$A$5</c:f>
              <c:strCache>
                <c:ptCount val="4"/>
                <c:pt idx="0">
                  <c:v>1er semestre 2013</c:v>
                </c:pt>
                <c:pt idx="1">
                  <c:v>1er semestre 2014</c:v>
                </c:pt>
                <c:pt idx="2">
                  <c:v>1er semestre 2015</c:v>
                </c:pt>
                <c:pt idx="3">
                  <c:v>1er semestre 2016</c:v>
                </c:pt>
              </c:strCache>
            </c:strRef>
          </c:cat>
          <c:val>
            <c:numRef>
              <c:f>Feuil1!$B$2:$B$5</c:f>
              <c:numCache>
                <c:formatCode>0%</c:formatCode>
                <c:ptCount val="4"/>
                <c:pt idx="0">
                  <c:v>0.19</c:v>
                </c:pt>
                <c:pt idx="1">
                  <c:v>0.19</c:v>
                </c:pt>
                <c:pt idx="2">
                  <c:v>0.17</c:v>
                </c:pt>
                <c:pt idx="3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688832"/>
        <c:axId val="101690368"/>
      </c:barChart>
      <c:catAx>
        <c:axId val="10168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fr-FR"/>
          </a:p>
        </c:txPr>
        <c:crossAx val="101690368"/>
        <c:crosses val="autoZero"/>
        <c:auto val="1"/>
        <c:lblAlgn val="ctr"/>
        <c:lblOffset val="100"/>
        <c:noMultiLvlLbl val="0"/>
      </c:catAx>
      <c:valAx>
        <c:axId val="101690368"/>
        <c:scaling>
          <c:orientation val="minMax"/>
          <c:max val="0.25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101688832"/>
        <c:crosses val="autoZero"/>
        <c:crossBetween val="between"/>
        <c:majorUnit val="5.000000000000001E-2"/>
      </c:valAx>
      <c:spPr>
        <a:noFill/>
        <a:ln w="1623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400153105861774E-2"/>
          <c:y val="6.0805056149007358E-2"/>
          <c:w val="0.89208132837561971"/>
          <c:h val="0.59687568680713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Feuil1!$A$2:$A$8</c:f>
              <c:strCache>
                <c:ptCount val="7"/>
                <c:pt idx="0">
                  <c:v>Bâtiment</c:v>
                </c:pt>
                <c:pt idx="1">
                  <c:v>Travaux publics</c:v>
                </c:pt>
                <c:pt idx="2">
                  <c:v>Services</c:v>
                </c:pt>
                <c:pt idx="3">
                  <c:v>Fabrication</c:v>
                </c:pt>
                <c:pt idx="4">
                  <c:v>Alimentation</c:v>
                </c:pt>
                <c:pt idx="5">
                  <c:v>Hôtellerie-restauration</c:v>
                </c:pt>
                <c:pt idx="6">
                  <c:v>Ensemble</c:v>
                </c:pt>
              </c:strCache>
            </c:strRef>
          </c:cat>
          <c:val>
            <c:numRef>
              <c:f>Feuil1!$B$2:$B$8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0.11</c:v>
                </c:pt>
                <c:pt idx="2">
                  <c:v>0.19</c:v>
                </c:pt>
                <c:pt idx="3">
                  <c:v>0.13</c:v>
                </c:pt>
                <c:pt idx="4">
                  <c:v>0.2</c:v>
                </c:pt>
                <c:pt idx="5">
                  <c:v>0.3</c:v>
                </c:pt>
                <c:pt idx="6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19776"/>
        <c:axId val="104221312"/>
      </c:barChart>
      <c:catAx>
        <c:axId val="104219776"/>
        <c:scaling>
          <c:orientation val="minMax"/>
        </c:scaling>
        <c:delete val="0"/>
        <c:axPos val="b"/>
        <c:majorTickMark val="out"/>
        <c:minorTickMark val="none"/>
        <c:tickLblPos val="low"/>
        <c:crossAx val="104221312"/>
        <c:crosses val="autoZero"/>
        <c:auto val="1"/>
        <c:lblAlgn val="ctr"/>
        <c:lblOffset val="100"/>
        <c:noMultiLvlLbl val="0"/>
      </c:catAx>
      <c:valAx>
        <c:axId val="1042213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04219776"/>
        <c:crosses val="autoZero"/>
        <c:crossBetween val="between"/>
        <c:majorUnit val="0.1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27220774582148"/>
          <c:y val="9.4144339340132818E-2"/>
          <c:w val="0.85320574244458758"/>
          <c:h val="0.66034455424615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Feuil1!$A$2:$A$5</c:f>
              <c:strCache>
                <c:ptCount val="4"/>
                <c:pt idx="0">
                  <c:v>1er semestre 2013</c:v>
                </c:pt>
                <c:pt idx="1">
                  <c:v>1er semestre 2014</c:v>
                </c:pt>
                <c:pt idx="2">
                  <c:v>1er semestre 2015</c:v>
                </c:pt>
                <c:pt idx="3">
                  <c:v>1er semestre 2016</c:v>
                </c:pt>
              </c:strCache>
            </c:strRef>
          </c:cat>
          <c:val>
            <c:numRef>
              <c:f>Feuil1!$B$2:$B$5</c:f>
              <c:numCache>
                <c:formatCode>0%</c:formatCode>
                <c:ptCount val="4"/>
                <c:pt idx="0">
                  <c:v>0.11</c:v>
                </c:pt>
                <c:pt idx="1">
                  <c:v>0.12</c:v>
                </c:pt>
                <c:pt idx="2">
                  <c:v>0.13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79424"/>
        <c:axId val="104285312"/>
      </c:barChart>
      <c:catAx>
        <c:axId val="10427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fr-FR"/>
          </a:p>
        </c:txPr>
        <c:crossAx val="104285312"/>
        <c:crosses val="autoZero"/>
        <c:auto val="1"/>
        <c:lblAlgn val="ctr"/>
        <c:lblOffset val="100"/>
        <c:noMultiLvlLbl val="0"/>
      </c:catAx>
      <c:valAx>
        <c:axId val="104285312"/>
        <c:scaling>
          <c:orientation val="minMax"/>
          <c:max val="0.15000000000000002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104279424"/>
        <c:crosses val="autoZero"/>
        <c:crossBetween val="between"/>
        <c:majorUnit val="5.000000000000001E-2"/>
      </c:valAx>
      <c:spPr>
        <a:noFill/>
        <a:ln w="1623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400153105861774E-2"/>
          <c:y val="6.0805056149007358E-2"/>
          <c:w val="0.89208132837561971"/>
          <c:h val="0.59687568680713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Feuil1!$A$2:$A$8</c:f>
              <c:strCache>
                <c:ptCount val="7"/>
                <c:pt idx="0">
                  <c:v>Bâtiment</c:v>
                </c:pt>
                <c:pt idx="1">
                  <c:v>Travaux publics</c:v>
                </c:pt>
                <c:pt idx="2">
                  <c:v>Services</c:v>
                </c:pt>
                <c:pt idx="3">
                  <c:v>Fabrication</c:v>
                </c:pt>
                <c:pt idx="4">
                  <c:v>Alimentation</c:v>
                </c:pt>
                <c:pt idx="5">
                  <c:v>Hôtellerie-restauration</c:v>
                </c:pt>
                <c:pt idx="6">
                  <c:v>Ensemble</c:v>
                </c:pt>
              </c:strCache>
            </c:strRef>
          </c:cat>
          <c:val>
            <c:numRef>
              <c:f>Feuil1!$B$2:$B$8</c:f>
              <c:numCache>
                <c:formatCode>0%</c:formatCode>
                <c:ptCount val="7"/>
                <c:pt idx="0">
                  <c:v>0.1</c:v>
                </c:pt>
                <c:pt idx="1">
                  <c:v>7.0000000000000007E-2</c:v>
                </c:pt>
                <c:pt idx="2">
                  <c:v>0.12</c:v>
                </c:pt>
                <c:pt idx="3">
                  <c:v>7.0000000000000007E-2</c:v>
                </c:pt>
                <c:pt idx="4">
                  <c:v>0.15</c:v>
                </c:pt>
                <c:pt idx="5">
                  <c:v>0.14000000000000001</c:v>
                </c:pt>
                <c:pt idx="6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315904"/>
        <c:axId val="104321792"/>
      </c:barChart>
      <c:catAx>
        <c:axId val="104315904"/>
        <c:scaling>
          <c:orientation val="minMax"/>
        </c:scaling>
        <c:delete val="0"/>
        <c:axPos val="b"/>
        <c:majorTickMark val="out"/>
        <c:minorTickMark val="none"/>
        <c:tickLblPos val="low"/>
        <c:crossAx val="104321792"/>
        <c:crosses val="autoZero"/>
        <c:auto val="1"/>
        <c:lblAlgn val="ctr"/>
        <c:lblOffset val="100"/>
        <c:noMultiLvlLbl val="0"/>
      </c:catAx>
      <c:valAx>
        <c:axId val="104321792"/>
        <c:scaling>
          <c:orientation val="minMax"/>
          <c:max val="0.25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104315904"/>
        <c:crosses val="autoZero"/>
        <c:crossBetween val="between"/>
        <c:majorUnit val="0.1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36779505043665E-2"/>
          <c:y val="2.2998001451062258E-2"/>
          <c:w val="0.86827598282094143"/>
          <c:h val="0.798146698728527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4BACC6">
                  <a:lumMod val="75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Pt>
            <c:idx val="5"/>
            <c:invertIfNegative val="0"/>
            <c:bubble3D val="0"/>
            <c:spPr>
              <a:solidFill>
                <a:sysClr val="window" lastClr="FFFFFF">
                  <a:lumMod val="85000"/>
                </a:sysClr>
              </a:solidFill>
            </c:spPr>
          </c:dPt>
          <c:dLbls>
            <c:dLbl>
              <c:idx val="0"/>
              <c:layout>
                <c:manualLayout>
                  <c:x val="2.1742523009090158E-3"/>
                  <c:y val="-1.009161491650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1.7774378325442943E-3"/>
                  <c:y val="3.231547882360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4.8204903837010581E-3"/>
                  <c:y val="-6.68442653227794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3.3991636585150825E-3"/>
                  <c:y val="-3.3089839820015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2.126620708241865E-3"/>
                  <c:y val="8.1939854402331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Feuil1!$A$2:$A$7</c:f>
              <c:strCache>
                <c:ptCount val="6"/>
                <c:pt idx="0">
                  <c:v>Pas d'accroissement d'activité </c:v>
                </c:pt>
                <c:pt idx="1">
                  <c:v>Pas de volonté d'augmenter les effectifs</c:v>
                </c:pt>
                <c:pt idx="2">
                  <c:v>Niveau des charges sociales</c:v>
                </c:pt>
                <c:pt idx="3">
                  <c:v>Risque d'avoir à licencier</c:v>
                </c:pt>
                <c:pt idx="4">
                  <c:v>Départ à la retraite</c:v>
                </c:pt>
                <c:pt idx="5">
                  <c:v>Autres</c:v>
                </c:pt>
              </c:strCache>
            </c:strRef>
          </c:cat>
          <c:val>
            <c:numRef>
              <c:f>Feuil1!$B$2:$B$7</c:f>
              <c:numCache>
                <c:formatCode>0%</c:formatCode>
                <c:ptCount val="6"/>
                <c:pt idx="0">
                  <c:v>0.56000000000000005</c:v>
                </c:pt>
                <c:pt idx="1">
                  <c:v>0.37</c:v>
                </c:pt>
                <c:pt idx="2">
                  <c:v>0.15</c:v>
                </c:pt>
                <c:pt idx="3">
                  <c:v>0.04</c:v>
                </c:pt>
                <c:pt idx="4">
                  <c:v>0.03</c:v>
                </c:pt>
                <c:pt idx="5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4365056"/>
        <c:axId val="104370944"/>
      </c:barChart>
      <c:catAx>
        <c:axId val="10436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370944"/>
        <c:crosses val="autoZero"/>
        <c:auto val="1"/>
        <c:lblAlgn val="ctr"/>
        <c:lblOffset val="100"/>
        <c:noMultiLvlLbl val="0"/>
      </c:catAx>
      <c:valAx>
        <c:axId val="10437094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04365056"/>
        <c:crosses val="autoZero"/>
        <c:crossBetween val="between"/>
      </c:valAx>
      <c:spPr>
        <a:noFill/>
        <a:ln w="21594">
          <a:noFill/>
        </a:ln>
      </c:spPr>
    </c:plotArea>
    <c:plotVisOnly val="1"/>
    <c:dispBlanksAs val="zero"/>
    <c:showDLblsOverMax val="0"/>
  </c:chart>
  <c:spPr>
    <a:ln>
      <a:noFill/>
    </a:ln>
    <a:scene3d>
      <a:camera prst="orthographicFront"/>
      <a:lightRig rig="threePt" dir="t"/>
    </a:scene3d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400153105861774E-2"/>
          <c:y val="6.0805056149007358E-2"/>
          <c:w val="0.89208132837561971"/>
          <c:h val="0.59687568680713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Feuil1!$A$2:$A$8</c:f>
              <c:strCache>
                <c:ptCount val="7"/>
                <c:pt idx="0">
                  <c:v>Bâtiment</c:v>
                </c:pt>
                <c:pt idx="1">
                  <c:v>Travaux publics</c:v>
                </c:pt>
                <c:pt idx="2">
                  <c:v>Services</c:v>
                </c:pt>
                <c:pt idx="3">
                  <c:v>Fabrication</c:v>
                </c:pt>
                <c:pt idx="4">
                  <c:v>Alimentation</c:v>
                </c:pt>
                <c:pt idx="5">
                  <c:v>Hôtellerie-restauration</c:v>
                </c:pt>
                <c:pt idx="6">
                  <c:v>Ensemble</c:v>
                </c:pt>
              </c:strCache>
            </c:strRef>
          </c:cat>
          <c:val>
            <c:numRef>
              <c:f>Feuil1!$B$2:$B$8</c:f>
              <c:numCache>
                <c:formatCode>0%</c:formatCode>
                <c:ptCount val="7"/>
                <c:pt idx="0">
                  <c:v>0.22</c:v>
                </c:pt>
                <c:pt idx="1">
                  <c:v>0.22</c:v>
                </c:pt>
                <c:pt idx="2">
                  <c:v>0.28000000000000003</c:v>
                </c:pt>
                <c:pt idx="3">
                  <c:v>0.32</c:v>
                </c:pt>
                <c:pt idx="4">
                  <c:v>0.24</c:v>
                </c:pt>
                <c:pt idx="5">
                  <c:v>0.31</c:v>
                </c:pt>
                <c:pt idx="6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56608"/>
        <c:axId val="105566592"/>
      </c:barChart>
      <c:catAx>
        <c:axId val="105556608"/>
        <c:scaling>
          <c:orientation val="minMax"/>
        </c:scaling>
        <c:delete val="0"/>
        <c:axPos val="b"/>
        <c:majorTickMark val="out"/>
        <c:minorTickMark val="none"/>
        <c:tickLblPos val="low"/>
        <c:crossAx val="105566592"/>
        <c:crosses val="autoZero"/>
        <c:auto val="1"/>
        <c:lblAlgn val="ctr"/>
        <c:lblOffset val="100"/>
        <c:noMultiLvlLbl val="0"/>
      </c:catAx>
      <c:valAx>
        <c:axId val="105566592"/>
        <c:scaling>
          <c:orientation val="minMax"/>
          <c:max val="0.4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105556608"/>
        <c:crosses val="autoZero"/>
        <c:crossBetween val="between"/>
        <c:majorUnit val="0.1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36779505043665E-2"/>
          <c:y val="2.2998001451062258E-2"/>
          <c:w val="0.86827598282094143"/>
          <c:h val="0.798146698728527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4BACC6">
                  <a:lumMod val="75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2.1742523009090158E-3"/>
                  <c:y val="-1.009161491650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1.7774378325442943E-3"/>
                  <c:y val="3.231547882360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4.8204903837010581E-3"/>
                  <c:y val="-6.68442653227794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3.3991636585150825E-3"/>
                  <c:y val="-3.3089839820015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2.126620708241865E-3"/>
                  <c:y val="8.1939854402331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Feuil1!$A$2:$A$5</c:f>
              <c:strCache>
                <c:ptCount val="4"/>
                <c:pt idx="0">
                  <c:v>Problème de qualification  </c:v>
                </c:pt>
                <c:pt idx="1">
                  <c:v>Pas de candidature</c:v>
                </c:pt>
                <c:pt idx="2">
                  <c:v>Manque de motivation </c:v>
                </c:pt>
                <c:pt idx="3">
                  <c:v>Autres</c:v>
                </c:pt>
              </c:strCache>
            </c:strRef>
          </c:cat>
          <c:val>
            <c:numRef>
              <c:f>Feuil1!$B$2:$B$5</c:f>
              <c:numCache>
                <c:formatCode>0%</c:formatCode>
                <c:ptCount val="4"/>
                <c:pt idx="0">
                  <c:v>0.66</c:v>
                </c:pt>
                <c:pt idx="1">
                  <c:v>0.27</c:v>
                </c:pt>
                <c:pt idx="2">
                  <c:v>0.1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5600128"/>
        <c:axId val="105601664"/>
      </c:barChart>
      <c:catAx>
        <c:axId val="105600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601664"/>
        <c:crosses val="autoZero"/>
        <c:auto val="1"/>
        <c:lblAlgn val="ctr"/>
        <c:lblOffset val="100"/>
        <c:noMultiLvlLbl val="0"/>
      </c:catAx>
      <c:valAx>
        <c:axId val="10560166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05600128"/>
        <c:crosses val="autoZero"/>
        <c:crossBetween val="between"/>
      </c:valAx>
      <c:spPr>
        <a:noFill/>
        <a:ln w="21594">
          <a:noFill/>
        </a:ln>
      </c:spPr>
    </c:plotArea>
    <c:plotVisOnly val="1"/>
    <c:dispBlanksAs val="zero"/>
    <c:showDLblsOverMax val="0"/>
  </c:chart>
  <c:spPr>
    <a:ln>
      <a:noFill/>
    </a:ln>
    <a:scene3d>
      <a:camera prst="orthographicFront"/>
      <a:lightRig rig="threePt" dir="t"/>
    </a:scene3d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41584446658208"/>
          <c:y val="0.10544925035055548"/>
          <c:w val="0.58976277878610062"/>
          <c:h val="0.77692493917712335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</c:spPr>
          </c:dPt>
          <c:dPt>
            <c:idx val="2"/>
            <c:bubble3D val="0"/>
            <c:spPr>
              <a:solidFill>
                <a:srgbClr val="4F81BD">
                  <a:lumMod val="60000"/>
                  <a:lumOff val="40000"/>
                </a:srgbClr>
              </a:solidFill>
            </c:spPr>
          </c:dPt>
          <c:dPt>
            <c:idx val="3"/>
            <c:bubble3D val="0"/>
            <c:spPr>
              <a:solidFill>
                <a:srgbClr val="F79646">
                  <a:lumMod val="75000"/>
                </a:srgbClr>
              </a:solidFill>
            </c:spPr>
          </c:dPt>
          <c:dPt>
            <c:idx val="4"/>
            <c:bubble3D val="0"/>
            <c:spPr>
              <a:solidFill>
                <a:srgbClr val="8064A2">
                  <a:lumMod val="40000"/>
                  <a:lumOff val="60000"/>
                </a:srgbClr>
              </a:solidFill>
            </c:spPr>
          </c:dPt>
          <c:dLbls>
            <c:dLbl>
              <c:idx val="0"/>
              <c:layout>
                <c:manualLayout>
                  <c:x val="7.8203141461801289E-3"/>
                  <c:y val="-2.0766588410082207E-2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solidFill>
                        <a:schemeClr val="tx1"/>
                      </a:solidFill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sz="1000" b="1"/>
                  </a:pPr>
                  <a:endParaRPr lang="fr-F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59796576554448E-3"/>
                  <c:y val="-0.17017030405445896"/>
                </c:manualLayout>
              </c:layout>
              <c:spPr/>
              <c:txPr>
                <a:bodyPr/>
                <a:lstStyle/>
                <a:p>
                  <a:pPr>
                    <a:defRPr sz="2000" b="1">
                      <a:solidFill>
                        <a:schemeClr val="tx1"/>
                      </a:solidFill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5.8718050191732964E-2"/>
                  <c:y val="0.22968731648269994"/>
                </c:manualLayout>
              </c:layout>
              <c:spPr/>
              <c:txPr>
                <a:bodyPr/>
                <a:lstStyle/>
                <a:p>
                  <a:pPr>
                    <a:defRPr sz="2800" b="1"/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 sz="1000" b="1"/>
                  </a:pPr>
                  <a:endParaRPr lang="fr-FR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fr-FR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Feuil1!$A$2:$A$6</c:f>
              <c:strCache>
                <c:ptCount val="5"/>
                <c:pt idx="0">
                  <c:v>Contrat de professionalisation</c:v>
                </c:pt>
                <c:pt idx="1">
                  <c:v>Contrat d'apprentissage</c:v>
                </c:pt>
                <c:pt idx="2">
                  <c:v>CDI</c:v>
                </c:pt>
                <c:pt idx="3">
                  <c:v>CDD</c:v>
                </c:pt>
                <c:pt idx="4">
                  <c:v>Contrat de génération</c:v>
                </c:pt>
              </c:strCache>
            </c:strRef>
          </c:cat>
          <c:val>
            <c:numRef>
              <c:f>Feuil1!$B$2:$B$6</c:f>
              <c:numCache>
                <c:formatCode>0%</c:formatCode>
                <c:ptCount val="5"/>
                <c:pt idx="0">
                  <c:v>0.01</c:v>
                </c:pt>
                <c:pt idx="1">
                  <c:v>0.04</c:v>
                </c:pt>
                <c:pt idx="2">
                  <c:v>0.35</c:v>
                </c:pt>
                <c:pt idx="3">
                  <c:v>0.59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1"/>
      </c:pieChart>
      <c:spPr>
        <a:noFill/>
        <a:ln w="21594">
          <a:noFill/>
        </a:ln>
      </c:spPr>
    </c:plotArea>
    <c:plotVisOnly val="1"/>
    <c:dispBlanksAs val="zero"/>
    <c:showDLblsOverMax val="0"/>
  </c:chart>
  <c:spPr>
    <a:ln>
      <a:noFill/>
    </a:ln>
    <a:scene3d>
      <a:camera prst="orthographicFront"/>
      <a:lightRig rig="threePt" dir="t"/>
    </a:scene3d>
    <a:sp3d prstMaterial="matte"/>
  </c:sp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GARRACHON</dc:creator>
  <cp:lastModifiedBy>Jean-Come Delerue</cp:lastModifiedBy>
  <cp:revision>8</cp:revision>
  <cp:lastPrinted>2016-07-22T14:28:00Z</cp:lastPrinted>
  <dcterms:created xsi:type="dcterms:W3CDTF">2016-05-02T07:50:00Z</dcterms:created>
  <dcterms:modified xsi:type="dcterms:W3CDTF">2016-07-26T15:20:00Z</dcterms:modified>
</cp:coreProperties>
</file>